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38FB" w14:textId="77777777" w:rsidR="004F690A" w:rsidRPr="004F690A" w:rsidRDefault="004F690A" w:rsidP="00F301C5">
      <w:pPr>
        <w:tabs>
          <w:tab w:val="left" w:pos="0"/>
          <w:tab w:val="left" w:pos="8080"/>
          <w:tab w:val="left" w:pos="8789"/>
        </w:tabs>
        <w:spacing w:after="120" w:line="360" w:lineRule="auto"/>
        <w:ind w:right="-1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Efecto de las citocininas en los fenotipos verde, variegado y albino de </w:t>
      </w:r>
      <w:r w:rsidRPr="004F690A">
        <w:rPr>
          <w:rFonts w:ascii="Times New Roman" w:hAnsi="Times New Roman"/>
          <w:b/>
          <w:i/>
          <w:sz w:val="24"/>
          <w:szCs w:val="24"/>
          <w:lang w:val="es-ES_tradnl"/>
        </w:rPr>
        <w:t>Agave angustifolia</w:t>
      </w:r>
      <w:r w:rsidRPr="004F690A">
        <w:rPr>
          <w:rFonts w:ascii="Times New Roman" w:hAnsi="Times New Roman"/>
          <w:b/>
          <w:sz w:val="24"/>
          <w:szCs w:val="24"/>
          <w:lang w:val="es-ES_tradnl"/>
        </w:rPr>
        <w:t xml:space="preserve"> Haw.</w:t>
      </w:r>
    </w:p>
    <w:p w14:paraId="08F8BBD8" w14:textId="77777777" w:rsidR="00F301C5" w:rsidRPr="000F0D99" w:rsidRDefault="003C40F8" w:rsidP="00F301C5">
      <w:pPr>
        <w:spacing w:after="120" w:line="360" w:lineRule="auto"/>
        <w:rPr>
          <w:rFonts w:ascii="Times New Roman" w:hAnsi="Times New Roman"/>
          <w:sz w:val="20"/>
          <w:szCs w:val="20"/>
          <w:vertAlign w:val="superscript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>Yuneisi Siordia-Paz</w:t>
      </w:r>
      <w:r w:rsidR="00F301C5" w:rsidRPr="006B3B6A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F301C5" w:rsidRPr="006B3B6A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="00F301C5" w:rsidRPr="006B3B6A">
        <w:rPr>
          <w:rFonts w:ascii="Times New Roman" w:hAnsi="Times New Roman"/>
          <w:sz w:val="20"/>
          <w:szCs w:val="20"/>
          <w:lang w:val="es-ES_tradnl"/>
        </w:rPr>
        <w:t xml:space="preserve">, </w:t>
      </w:r>
      <w:r w:rsidR="000F0D99">
        <w:rPr>
          <w:rFonts w:ascii="Times New Roman" w:hAnsi="Times New Roman"/>
          <w:sz w:val="20"/>
          <w:szCs w:val="20"/>
          <w:lang w:val="es-ES_tradnl"/>
        </w:rPr>
        <w:t>Eduardo Castillo</w:t>
      </w:r>
      <w:r w:rsidR="000F0D99" w:rsidRPr="006B3B6A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="000F0D99">
        <w:rPr>
          <w:rFonts w:ascii="Times New Roman" w:hAnsi="Times New Roman"/>
          <w:sz w:val="20"/>
          <w:szCs w:val="20"/>
          <w:lang w:val="es-ES_tradnl"/>
        </w:rPr>
        <w:t>,</w:t>
      </w:r>
      <w:r w:rsidR="000F0D99">
        <w:rPr>
          <w:rFonts w:ascii="Times New Roman" w:hAnsi="Times New Roman"/>
          <w:sz w:val="20"/>
          <w:szCs w:val="20"/>
          <w:vertAlign w:val="superscript"/>
          <w:lang w:val="es-ES_tradnl"/>
        </w:rPr>
        <w:t xml:space="preserve"> </w:t>
      </w:r>
      <w:r w:rsidR="000F0D99">
        <w:rPr>
          <w:rFonts w:ascii="Times New Roman" w:hAnsi="Times New Roman"/>
          <w:sz w:val="20"/>
          <w:szCs w:val="20"/>
          <w:lang w:val="es-ES_tradnl"/>
        </w:rPr>
        <w:t>René Garruña Hernández</w:t>
      </w:r>
      <w:r w:rsidR="000F0D99" w:rsidRPr="006B3B6A">
        <w:rPr>
          <w:rFonts w:ascii="Times New Roman" w:hAnsi="Times New Roman"/>
          <w:sz w:val="20"/>
          <w:szCs w:val="20"/>
          <w:vertAlign w:val="superscript"/>
          <w:lang w:val="es-ES_tradnl"/>
        </w:rPr>
        <w:t>2</w:t>
      </w:r>
      <w:r w:rsidR="000F0D99">
        <w:rPr>
          <w:rFonts w:ascii="Times New Roman" w:hAnsi="Times New Roman"/>
          <w:sz w:val="20"/>
          <w:szCs w:val="20"/>
          <w:lang w:val="es-ES_tradnl"/>
        </w:rPr>
        <w:t xml:space="preserve">, </w:t>
      </w:r>
      <w:r>
        <w:rPr>
          <w:rFonts w:ascii="Times New Roman" w:hAnsi="Times New Roman"/>
          <w:sz w:val="20"/>
          <w:szCs w:val="20"/>
          <w:lang w:val="es-ES_tradnl"/>
        </w:rPr>
        <w:t>Víctor Manuel Loyola-Vargas</w:t>
      </w:r>
      <w:r w:rsidRPr="006B3B6A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F301C5" w:rsidRPr="006B3B6A">
        <w:rPr>
          <w:rFonts w:ascii="Times New Roman" w:hAnsi="Times New Roman"/>
          <w:sz w:val="20"/>
          <w:szCs w:val="20"/>
          <w:lang w:val="es-ES_tradnl"/>
        </w:rPr>
        <w:t xml:space="preserve">y </w:t>
      </w:r>
      <w:r w:rsidR="000F0D99">
        <w:rPr>
          <w:rFonts w:ascii="Times New Roman" w:hAnsi="Times New Roman"/>
          <w:sz w:val="20"/>
          <w:szCs w:val="20"/>
          <w:lang w:val="es-ES_tradnl"/>
        </w:rPr>
        <w:t>Clelia De-la-Peña</w:t>
      </w:r>
      <w:r w:rsidR="000F0D99" w:rsidRPr="006B3B6A">
        <w:rPr>
          <w:rFonts w:ascii="Times New Roman" w:hAnsi="Times New Roman"/>
          <w:sz w:val="20"/>
          <w:szCs w:val="20"/>
          <w:vertAlign w:val="superscript"/>
          <w:lang w:val="es-ES_tradnl"/>
        </w:rPr>
        <w:t>1</w:t>
      </w:r>
      <w:r w:rsidR="000F0D99">
        <w:rPr>
          <w:rFonts w:ascii="Times New Roman" w:hAnsi="Times New Roman"/>
          <w:sz w:val="20"/>
          <w:szCs w:val="20"/>
          <w:vertAlign w:val="superscript"/>
          <w:lang w:val="es-ES_tradnl"/>
        </w:rPr>
        <w:t>*</w:t>
      </w:r>
    </w:p>
    <w:p w14:paraId="494B0BF5" w14:textId="77777777" w:rsidR="00F301C5" w:rsidRPr="00374613" w:rsidRDefault="00F301C5" w:rsidP="00F301C5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  <w:vertAlign w:val="superscript"/>
          <w:lang w:val="es-ES_tradnl"/>
        </w:rPr>
      </w:pPr>
      <w:r w:rsidRPr="00374613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 xml:space="preserve">1 </w:t>
      </w:r>
      <w:r w:rsidR="003C40F8">
        <w:rPr>
          <w:rFonts w:ascii="Times New Roman" w:hAnsi="Times New Roman"/>
          <w:i/>
          <w:sz w:val="20"/>
          <w:szCs w:val="20"/>
          <w:lang w:val="es-ES_tradnl"/>
        </w:rPr>
        <w:t xml:space="preserve">Centro de Investigación Científica de Yucatán, </w:t>
      </w:r>
      <w:r w:rsidR="00083CDB" w:rsidRPr="00083CDB">
        <w:rPr>
          <w:rFonts w:ascii="Times New Roman" w:hAnsi="Times New Roman"/>
          <w:i/>
          <w:sz w:val="20"/>
          <w:szCs w:val="20"/>
          <w:lang w:val="es-ES_tradnl"/>
        </w:rPr>
        <w:t>Calle 43 No. 130 x 32 y 34, Chuburná de Hidalgo; CP 97205, Mérida, Yucatán, México</w:t>
      </w:r>
      <w:r w:rsidRPr="00374613">
        <w:rPr>
          <w:rFonts w:ascii="Times New Roman" w:hAnsi="Times New Roman"/>
          <w:i/>
          <w:sz w:val="20"/>
          <w:szCs w:val="20"/>
          <w:lang w:val="es-ES_tradnl"/>
        </w:rPr>
        <w:t>.</w:t>
      </w:r>
    </w:p>
    <w:p w14:paraId="5F16A293" w14:textId="77777777" w:rsidR="00F301C5" w:rsidRPr="00C77C96" w:rsidRDefault="00083CDB" w:rsidP="00F301C5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  <w:lang w:val="es-ES_tradnl"/>
        </w:rPr>
      </w:pPr>
      <w:r w:rsidRPr="00374613"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 xml:space="preserve">2 </w:t>
      </w:r>
      <w:proofErr w:type="gramStart"/>
      <w:r w:rsidRPr="00083CDB">
        <w:rPr>
          <w:rFonts w:ascii="Times New Roman" w:hAnsi="Times New Roman"/>
          <w:i/>
          <w:sz w:val="20"/>
          <w:szCs w:val="20"/>
          <w:lang w:val="es-ES_tradnl"/>
        </w:rPr>
        <w:t>Instituto</w:t>
      </w:r>
      <w:proofErr w:type="gramEnd"/>
      <w:r w:rsidRPr="00083CDB">
        <w:rPr>
          <w:rFonts w:ascii="Times New Roman" w:hAnsi="Times New Roman"/>
          <w:i/>
          <w:sz w:val="20"/>
          <w:szCs w:val="20"/>
          <w:lang w:val="es-ES_tradnl"/>
        </w:rPr>
        <w:t xml:space="preserve"> Tecnológico</w:t>
      </w:r>
      <w:r>
        <w:rPr>
          <w:rFonts w:ascii="Times New Roman" w:hAnsi="Times New Roman"/>
          <w:i/>
          <w:sz w:val="20"/>
          <w:szCs w:val="20"/>
          <w:vertAlign w:val="superscript"/>
          <w:lang w:val="es-ES_tradnl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es-ES_tradnl"/>
        </w:rPr>
        <w:t>de Conkal</w:t>
      </w:r>
      <w:r w:rsidR="00F301C5" w:rsidRPr="00374613">
        <w:rPr>
          <w:rFonts w:ascii="Times New Roman" w:hAnsi="Times New Roman"/>
          <w:i/>
          <w:sz w:val="20"/>
          <w:szCs w:val="20"/>
          <w:lang w:val="es-ES_tradnl"/>
        </w:rPr>
        <w:t xml:space="preserve">, </w:t>
      </w:r>
      <w:hyperlink r:id="rId7" w:history="1">
        <w:r w:rsidR="000F0D99" w:rsidRPr="000F0D99">
          <w:rPr>
            <w:rStyle w:val="Hipervnculo"/>
            <w:rFonts w:ascii="Times New Roman" w:hAnsi="Times New Roman"/>
            <w:i/>
            <w:color w:val="auto"/>
            <w:sz w:val="20"/>
            <w:szCs w:val="20"/>
            <w:u w:val="none"/>
            <w:lang w:val="es-ES_tradnl"/>
          </w:rPr>
          <w:t>rgarrunahe@conacyt.mx</w:t>
        </w:r>
      </w:hyperlink>
      <w:r w:rsidR="000F0D99" w:rsidRPr="00C77C96">
        <w:rPr>
          <w:rFonts w:ascii="Times New Roman" w:hAnsi="Times New Roman"/>
          <w:i/>
          <w:sz w:val="20"/>
          <w:szCs w:val="20"/>
          <w:lang w:val="es-ES_tradnl"/>
        </w:rPr>
        <w:t xml:space="preserve">; </w:t>
      </w:r>
      <w:r w:rsidR="00F301C5" w:rsidRPr="00C77C96">
        <w:rPr>
          <w:rFonts w:ascii="Times New Roman" w:hAnsi="Times New Roman"/>
          <w:i/>
          <w:sz w:val="20"/>
          <w:szCs w:val="20"/>
          <w:lang w:val="es-ES_tradnl"/>
        </w:rPr>
        <w:t xml:space="preserve"> </w:t>
      </w:r>
      <w:r w:rsidR="00C77C96" w:rsidRPr="00C77C96">
        <w:rPr>
          <w:rFonts w:ascii="Times New Roman" w:hAnsi="Times New Roman"/>
          <w:i/>
          <w:sz w:val="20"/>
          <w:szCs w:val="20"/>
          <w:lang w:val="es-ES_tradnl"/>
        </w:rPr>
        <w:t>Avenida Tecnológico S/N, 97345 Mérida, Yucatán</w:t>
      </w:r>
      <w:r w:rsidR="00C77C96">
        <w:rPr>
          <w:rFonts w:ascii="Times New Roman" w:hAnsi="Times New Roman"/>
          <w:i/>
          <w:sz w:val="20"/>
          <w:szCs w:val="20"/>
          <w:lang w:val="es-ES_tradnl"/>
        </w:rPr>
        <w:t>.</w:t>
      </w:r>
    </w:p>
    <w:p w14:paraId="0267C2D0" w14:textId="77777777" w:rsidR="000F0D99" w:rsidRPr="000F0D99" w:rsidRDefault="000F0D99" w:rsidP="00F301C5">
      <w:pPr>
        <w:spacing w:after="0" w:line="240" w:lineRule="auto"/>
        <w:ind w:left="142" w:hanging="142"/>
        <w:rPr>
          <w:rFonts w:ascii="Times New Roman" w:hAnsi="Times New Roman"/>
          <w:i/>
          <w:sz w:val="20"/>
          <w:szCs w:val="20"/>
          <w:lang w:val="es-ES_tradnl"/>
        </w:rPr>
      </w:pPr>
      <w:r>
        <w:rPr>
          <w:rFonts w:ascii="Times New Roman" w:hAnsi="Times New Roman"/>
          <w:i/>
          <w:sz w:val="20"/>
          <w:szCs w:val="20"/>
          <w:lang w:val="es-ES_tradnl"/>
        </w:rPr>
        <w:t xml:space="preserve">*Autor de correspondencia: </w:t>
      </w:r>
      <w:r w:rsidR="00C77C96">
        <w:rPr>
          <w:rFonts w:ascii="Times New Roman" w:hAnsi="Times New Roman"/>
          <w:i/>
          <w:sz w:val="20"/>
          <w:szCs w:val="20"/>
          <w:lang w:val="es-ES_tradnl"/>
        </w:rPr>
        <w:t>clelia@cicy.mx</w:t>
      </w:r>
    </w:p>
    <w:p w14:paraId="61A95E22" w14:textId="77777777" w:rsidR="00083CDB" w:rsidRDefault="00083CDB" w:rsidP="00F301C5">
      <w:pPr>
        <w:spacing w:after="120" w:line="360" w:lineRule="auto"/>
        <w:rPr>
          <w:rFonts w:ascii="Times New Roman" w:hAnsi="Times New Roman"/>
          <w:b/>
          <w:caps/>
          <w:lang w:val="es-ES_tradnl"/>
        </w:rPr>
      </w:pPr>
    </w:p>
    <w:p w14:paraId="398D1D83" w14:textId="77777777" w:rsidR="00F301C5" w:rsidRPr="00CF7882" w:rsidRDefault="00F301C5" w:rsidP="00F301C5">
      <w:pPr>
        <w:spacing w:after="120" w:line="360" w:lineRule="auto"/>
        <w:rPr>
          <w:rFonts w:ascii="Times New Roman" w:hAnsi="Times New Roman"/>
          <w:caps/>
          <w:lang w:val="es-ES_tradnl"/>
        </w:rPr>
      </w:pPr>
      <w:r w:rsidRPr="00CF7882">
        <w:rPr>
          <w:rFonts w:ascii="Times New Roman" w:hAnsi="Times New Roman"/>
          <w:b/>
          <w:caps/>
          <w:lang w:val="es-ES_tradnl"/>
        </w:rPr>
        <w:t>Resumen</w:t>
      </w:r>
    </w:p>
    <w:p w14:paraId="75B20F4A" w14:textId="5292C170" w:rsidR="00694322" w:rsidRDefault="00694322" w:rsidP="00F301C5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>
        <w:rPr>
          <w:rFonts w:ascii="Times New Roman" w:hAnsi="Times New Roman"/>
          <w:sz w:val="20"/>
          <w:szCs w:val="20"/>
          <w:lang w:val="es-ES_tradnl"/>
        </w:rPr>
        <w:t xml:space="preserve">Las plantas modulan su crecimiento y desarrollo gracias a </w:t>
      </w:r>
      <w:r w:rsidR="005347EA" w:rsidRPr="00E5282F">
        <w:rPr>
          <w:rFonts w:ascii="Times New Roman" w:hAnsi="Times New Roman"/>
          <w:sz w:val="20"/>
          <w:szCs w:val="20"/>
          <w:lang w:val="es-ES_tradnl"/>
        </w:rPr>
        <w:t>los</w:t>
      </w:r>
      <w:r w:rsidR="00E5282F" w:rsidRPr="00E5282F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Pr="00BE0FFB">
        <w:rPr>
          <w:rFonts w:ascii="Times New Roman" w:hAnsi="Times New Roman"/>
          <w:sz w:val="20"/>
          <w:szCs w:val="20"/>
          <w:lang w:val="es-ES_tradnl"/>
        </w:rPr>
        <w:t>reguladores de</w:t>
      </w:r>
      <w:r w:rsidR="00BE0FFB" w:rsidRPr="00BE0FFB">
        <w:rPr>
          <w:rFonts w:ascii="Times New Roman" w:hAnsi="Times New Roman"/>
          <w:sz w:val="20"/>
          <w:szCs w:val="20"/>
          <w:lang w:val="es-ES_tradnl"/>
        </w:rPr>
        <w:t>l</w:t>
      </w:r>
      <w:r w:rsidRPr="00BE0FFB">
        <w:rPr>
          <w:rFonts w:ascii="Times New Roman" w:hAnsi="Times New Roman"/>
          <w:sz w:val="20"/>
          <w:szCs w:val="20"/>
          <w:lang w:val="es-ES_tradnl"/>
        </w:rPr>
        <w:t xml:space="preserve"> crecimiento</w:t>
      </w:r>
      <w:r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E5282F">
        <w:rPr>
          <w:rFonts w:ascii="Times New Roman" w:hAnsi="Times New Roman"/>
          <w:sz w:val="20"/>
          <w:szCs w:val="20"/>
          <w:lang w:val="es-ES_tradnl"/>
        </w:rPr>
        <w:t>como,</w:t>
      </w:r>
      <w:r w:rsidR="00A81A57">
        <w:rPr>
          <w:rFonts w:ascii="Times New Roman" w:hAnsi="Times New Roman"/>
          <w:sz w:val="20"/>
          <w:szCs w:val="20"/>
          <w:lang w:val="es-ES_tradnl"/>
        </w:rPr>
        <w:t xml:space="preserve"> por ejemplo: </w:t>
      </w:r>
      <w:r w:rsidR="005347EA">
        <w:rPr>
          <w:rFonts w:ascii="Times New Roman" w:hAnsi="Times New Roman"/>
          <w:sz w:val="20"/>
          <w:szCs w:val="20"/>
          <w:lang w:val="es-ES_tradnl"/>
        </w:rPr>
        <w:t>las auxinas y</w:t>
      </w:r>
      <w:r>
        <w:rPr>
          <w:rFonts w:ascii="Times New Roman" w:hAnsi="Times New Roman"/>
          <w:sz w:val="20"/>
          <w:szCs w:val="20"/>
          <w:lang w:val="es-ES_tradnl"/>
        </w:rPr>
        <w:t xml:space="preserve"> citocininas. Las citocininas participan en la diferenciación de b</w:t>
      </w:r>
      <w:r w:rsidR="00A81A57">
        <w:rPr>
          <w:rFonts w:ascii="Times New Roman" w:hAnsi="Times New Roman"/>
          <w:sz w:val="20"/>
          <w:szCs w:val="20"/>
          <w:lang w:val="es-ES_tradnl"/>
        </w:rPr>
        <w:t>r</w:t>
      </w:r>
      <w:r>
        <w:rPr>
          <w:rFonts w:ascii="Times New Roman" w:hAnsi="Times New Roman"/>
          <w:sz w:val="20"/>
          <w:szCs w:val="20"/>
          <w:lang w:val="es-ES_tradnl"/>
        </w:rPr>
        <w:t>otes, inhiben la senescencia de las hojas</w:t>
      </w:r>
      <w:r w:rsidR="005347EA">
        <w:rPr>
          <w:rFonts w:ascii="Times New Roman" w:hAnsi="Times New Roman"/>
          <w:sz w:val="20"/>
          <w:szCs w:val="20"/>
          <w:lang w:val="es-ES_tradnl"/>
        </w:rPr>
        <w:t xml:space="preserve"> y </w:t>
      </w:r>
      <w:r w:rsidR="00B74ECD">
        <w:rPr>
          <w:rFonts w:ascii="Times New Roman" w:hAnsi="Times New Roman"/>
          <w:sz w:val="20"/>
          <w:szCs w:val="20"/>
          <w:lang w:val="es-ES_tradnl"/>
        </w:rPr>
        <w:t>estimulan</w:t>
      </w:r>
      <w:r>
        <w:rPr>
          <w:rFonts w:ascii="Times New Roman" w:hAnsi="Times New Roman"/>
          <w:sz w:val="20"/>
          <w:szCs w:val="20"/>
          <w:lang w:val="es-ES_tradnl"/>
        </w:rPr>
        <w:t xml:space="preserve"> la diferenciación de lo</w:t>
      </w:r>
      <w:r w:rsidR="00A81A57">
        <w:rPr>
          <w:rFonts w:ascii="Times New Roman" w:hAnsi="Times New Roman"/>
          <w:sz w:val="20"/>
          <w:szCs w:val="20"/>
          <w:lang w:val="es-ES_tradnl"/>
        </w:rPr>
        <w:t>s</w:t>
      </w:r>
      <w:r>
        <w:rPr>
          <w:rFonts w:ascii="Times New Roman" w:hAnsi="Times New Roman"/>
          <w:sz w:val="20"/>
          <w:szCs w:val="20"/>
          <w:lang w:val="es-ES_tradnl"/>
        </w:rPr>
        <w:t xml:space="preserve"> cloroplastos</w:t>
      </w:r>
      <w:r w:rsidR="00BE0FFB">
        <w:rPr>
          <w:rFonts w:ascii="Times New Roman" w:hAnsi="Times New Roman"/>
          <w:sz w:val="20"/>
          <w:szCs w:val="20"/>
          <w:lang w:val="es-ES_tradnl"/>
        </w:rPr>
        <w:t>.</w:t>
      </w:r>
      <w:r w:rsidR="009B5886">
        <w:rPr>
          <w:rFonts w:ascii="Times New Roman" w:hAnsi="Times New Roman"/>
          <w:sz w:val="20"/>
          <w:szCs w:val="20"/>
          <w:lang w:val="es-ES_tradnl"/>
        </w:rPr>
        <w:t xml:space="preserve"> En los cultivos </w:t>
      </w:r>
      <w:r w:rsidR="009B5886">
        <w:rPr>
          <w:rFonts w:ascii="Times New Roman" w:hAnsi="Times New Roman"/>
          <w:i/>
          <w:sz w:val="20"/>
          <w:szCs w:val="20"/>
          <w:lang w:val="es-ES_tradnl"/>
        </w:rPr>
        <w:t>in vitro</w:t>
      </w:r>
      <w:r w:rsidR="009B5886">
        <w:rPr>
          <w:rFonts w:ascii="Times New Roman" w:hAnsi="Times New Roman"/>
          <w:sz w:val="20"/>
          <w:szCs w:val="20"/>
          <w:lang w:val="es-ES_tradnl"/>
        </w:rPr>
        <w:t xml:space="preserve">, tanto las citocininas como las auxinas, son empleados para modificar la respuesta de las plantas </w:t>
      </w:r>
      <w:r w:rsidR="00BF51A1" w:rsidRPr="00BF51A1">
        <w:rPr>
          <w:rFonts w:ascii="Times New Roman" w:hAnsi="Times New Roman"/>
          <w:sz w:val="20"/>
          <w:szCs w:val="20"/>
          <w:lang w:val="es-ES_tradnl"/>
        </w:rPr>
        <w:t xml:space="preserve">hacia </w:t>
      </w:r>
      <w:r w:rsidR="009B5886" w:rsidRPr="00BF51A1">
        <w:rPr>
          <w:rFonts w:ascii="Times New Roman" w:hAnsi="Times New Roman"/>
          <w:sz w:val="20"/>
          <w:szCs w:val="20"/>
          <w:lang w:val="es-ES_tradnl"/>
        </w:rPr>
        <w:t>un fin determinado.</w:t>
      </w:r>
      <w:r w:rsidR="009B5886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E54B4D">
        <w:rPr>
          <w:rFonts w:ascii="Times New Roman" w:hAnsi="Times New Roman"/>
          <w:sz w:val="20"/>
          <w:szCs w:val="20"/>
          <w:lang w:val="es-ES_tradnl"/>
        </w:rPr>
        <w:t>Para l</w:t>
      </w:r>
      <w:r w:rsidR="009B5886">
        <w:rPr>
          <w:rFonts w:ascii="Times New Roman" w:hAnsi="Times New Roman"/>
          <w:sz w:val="20"/>
          <w:szCs w:val="20"/>
          <w:lang w:val="es-ES_tradnl"/>
        </w:rPr>
        <w:t xml:space="preserve">a </w:t>
      </w:r>
      <w:r w:rsidR="00C77C96">
        <w:rPr>
          <w:rFonts w:ascii="Times New Roman" w:hAnsi="Times New Roman"/>
          <w:sz w:val="20"/>
          <w:szCs w:val="20"/>
          <w:lang w:val="es-ES_tradnl"/>
        </w:rPr>
        <w:t>micro</w:t>
      </w:r>
      <w:r w:rsidR="009B5886">
        <w:rPr>
          <w:rFonts w:ascii="Times New Roman" w:hAnsi="Times New Roman"/>
          <w:sz w:val="20"/>
          <w:szCs w:val="20"/>
          <w:lang w:val="es-ES_tradnl"/>
        </w:rPr>
        <w:t xml:space="preserve">propagación de </w:t>
      </w:r>
      <w:r w:rsidR="009B5886">
        <w:rPr>
          <w:rFonts w:ascii="Times New Roman" w:hAnsi="Times New Roman"/>
          <w:i/>
          <w:sz w:val="20"/>
          <w:szCs w:val="20"/>
          <w:lang w:val="es-ES_tradnl"/>
        </w:rPr>
        <w:t xml:space="preserve">Agave angustifolia </w:t>
      </w:r>
      <w:r w:rsidR="009B5886">
        <w:rPr>
          <w:rFonts w:ascii="Times New Roman" w:hAnsi="Times New Roman"/>
          <w:sz w:val="20"/>
          <w:szCs w:val="20"/>
          <w:lang w:val="es-ES_tradnl"/>
        </w:rPr>
        <w:t>Haw. se utiliza</w:t>
      </w:r>
      <w:r w:rsidR="00E54B4D">
        <w:rPr>
          <w:rFonts w:ascii="Times New Roman" w:hAnsi="Times New Roman"/>
          <w:sz w:val="20"/>
          <w:szCs w:val="20"/>
          <w:lang w:val="es-ES_tradnl"/>
        </w:rPr>
        <w:t xml:space="preserve"> benciladenina</w:t>
      </w:r>
      <w:r w:rsidR="005347EA">
        <w:rPr>
          <w:rFonts w:ascii="Times New Roman" w:hAnsi="Times New Roman"/>
          <w:sz w:val="20"/>
          <w:szCs w:val="20"/>
          <w:lang w:val="es-ES_tradnl"/>
        </w:rPr>
        <w:t xml:space="preserve"> (BA)</w:t>
      </w:r>
      <w:r w:rsidR="00E54B4D">
        <w:rPr>
          <w:rFonts w:ascii="Times New Roman" w:hAnsi="Times New Roman"/>
          <w:sz w:val="20"/>
          <w:szCs w:val="20"/>
          <w:lang w:val="es-ES_tradnl"/>
        </w:rPr>
        <w:t xml:space="preserve"> y 2,4-D, </w:t>
      </w:r>
      <w:r w:rsidR="005347EA">
        <w:rPr>
          <w:rFonts w:ascii="Times New Roman" w:hAnsi="Times New Roman"/>
          <w:sz w:val="20"/>
          <w:szCs w:val="20"/>
          <w:lang w:val="es-ES_tradnl"/>
        </w:rPr>
        <w:t xml:space="preserve">una citocinina y una auxina, </w:t>
      </w:r>
      <w:r w:rsidR="00E54B4D" w:rsidRPr="00A81A57">
        <w:rPr>
          <w:rFonts w:ascii="Times New Roman" w:hAnsi="Times New Roman"/>
          <w:sz w:val="20"/>
          <w:szCs w:val="20"/>
          <w:lang w:val="es-ES_tradnl"/>
        </w:rPr>
        <w:t>respectivamente.</w:t>
      </w:r>
      <w:r w:rsidR="009B5886">
        <w:rPr>
          <w:rFonts w:ascii="Times New Roman" w:hAnsi="Times New Roman"/>
          <w:sz w:val="20"/>
          <w:szCs w:val="20"/>
          <w:lang w:val="es-ES_tradnl"/>
        </w:rPr>
        <w:t xml:space="preserve">  </w:t>
      </w:r>
      <w:r w:rsidR="00E54B4D">
        <w:rPr>
          <w:rFonts w:ascii="Times New Roman" w:hAnsi="Times New Roman"/>
          <w:sz w:val="20"/>
          <w:szCs w:val="20"/>
          <w:lang w:val="es-ES_tradnl"/>
        </w:rPr>
        <w:t xml:space="preserve">En este trabajo se </w:t>
      </w:r>
      <w:r w:rsidR="005347EA">
        <w:rPr>
          <w:rFonts w:ascii="Times New Roman" w:hAnsi="Times New Roman"/>
          <w:sz w:val="20"/>
          <w:szCs w:val="20"/>
          <w:lang w:val="es-ES_tradnl"/>
        </w:rPr>
        <w:t>examinaron</w:t>
      </w:r>
      <w:r w:rsidR="00A81A57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BF51A1">
        <w:rPr>
          <w:rFonts w:ascii="Times New Roman" w:hAnsi="Times New Roman"/>
          <w:sz w:val="20"/>
          <w:szCs w:val="20"/>
          <w:lang w:val="es-ES_tradnl"/>
        </w:rPr>
        <w:t>cuatro</w:t>
      </w:r>
      <w:r w:rsidR="00E54B4D">
        <w:rPr>
          <w:rFonts w:ascii="Times New Roman" w:hAnsi="Times New Roman"/>
          <w:sz w:val="20"/>
          <w:szCs w:val="20"/>
          <w:lang w:val="es-ES_tradnl"/>
        </w:rPr>
        <w:t xml:space="preserve"> diferentes concentraciones de </w:t>
      </w:r>
      <w:r w:rsidR="005347EA">
        <w:rPr>
          <w:rFonts w:ascii="Times New Roman" w:hAnsi="Times New Roman"/>
          <w:sz w:val="20"/>
          <w:szCs w:val="20"/>
          <w:lang w:val="es-ES_tradnl"/>
        </w:rPr>
        <w:t>BA</w:t>
      </w:r>
      <w:r w:rsidR="00BF51A1" w:rsidRPr="00BF51A1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BF51A1">
        <w:rPr>
          <w:rFonts w:ascii="Times New Roman" w:hAnsi="Times New Roman"/>
          <w:sz w:val="20"/>
          <w:szCs w:val="20"/>
          <w:lang w:val="es-ES_tradnl"/>
        </w:rPr>
        <w:t xml:space="preserve">en plántulas verdes, variegadas y albinas de </w:t>
      </w:r>
      <w:r w:rsidR="00BF51A1">
        <w:rPr>
          <w:rFonts w:ascii="Times New Roman" w:hAnsi="Times New Roman"/>
          <w:i/>
          <w:sz w:val="20"/>
          <w:szCs w:val="20"/>
          <w:lang w:val="es-ES_tradnl"/>
        </w:rPr>
        <w:t>A</w:t>
      </w:r>
      <w:r w:rsidR="005347EA">
        <w:rPr>
          <w:rFonts w:ascii="Times New Roman" w:hAnsi="Times New Roman"/>
          <w:i/>
          <w:sz w:val="20"/>
          <w:szCs w:val="20"/>
          <w:lang w:val="es-ES_tradnl"/>
        </w:rPr>
        <w:t>.</w:t>
      </w:r>
      <w:r w:rsidR="00BF51A1">
        <w:rPr>
          <w:rFonts w:ascii="Times New Roman" w:hAnsi="Times New Roman"/>
          <w:i/>
          <w:sz w:val="20"/>
          <w:szCs w:val="20"/>
          <w:lang w:val="es-ES_tradnl"/>
        </w:rPr>
        <w:t xml:space="preserve"> angustifolia </w:t>
      </w:r>
      <w:r w:rsidR="00BF51A1">
        <w:rPr>
          <w:rFonts w:ascii="Times New Roman" w:hAnsi="Times New Roman"/>
          <w:sz w:val="20"/>
          <w:szCs w:val="20"/>
          <w:lang w:val="es-ES_tradnl"/>
        </w:rPr>
        <w:t xml:space="preserve">Haw. </w:t>
      </w:r>
      <w:r w:rsidR="00E54B4D">
        <w:rPr>
          <w:rFonts w:ascii="Times New Roman" w:hAnsi="Times New Roman"/>
          <w:sz w:val="20"/>
          <w:szCs w:val="20"/>
          <w:lang w:val="es-ES_tradnl"/>
        </w:rPr>
        <w:t>Las pl</w:t>
      </w:r>
      <w:r w:rsidR="005347EA">
        <w:rPr>
          <w:rFonts w:ascii="Times New Roman" w:hAnsi="Times New Roman"/>
          <w:sz w:val="20"/>
          <w:szCs w:val="20"/>
          <w:lang w:val="es-ES_tradnl"/>
        </w:rPr>
        <w:t>ántulas</w:t>
      </w:r>
      <w:r w:rsidR="00E54B4D">
        <w:rPr>
          <w:rFonts w:ascii="Times New Roman" w:hAnsi="Times New Roman"/>
          <w:sz w:val="20"/>
          <w:szCs w:val="20"/>
          <w:lang w:val="es-ES_tradnl"/>
        </w:rPr>
        <w:t xml:space="preserve"> se </w:t>
      </w:r>
      <w:proofErr w:type="spellStart"/>
      <w:r w:rsidR="00A81A57">
        <w:rPr>
          <w:rFonts w:ascii="Times New Roman" w:hAnsi="Times New Roman"/>
          <w:sz w:val="20"/>
          <w:szCs w:val="20"/>
          <w:lang w:val="es-ES_tradnl"/>
        </w:rPr>
        <w:t>subcultivaron</w:t>
      </w:r>
      <w:proofErr w:type="spellEnd"/>
      <w:r w:rsidR="00A81A57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E54B4D">
        <w:rPr>
          <w:rFonts w:ascii="Times New Roman" w:hAnsi="Times New Roman"/>
          <w:sz w:val="20"/>
          <w:szCs w:val="20"/>
          <w:lang w:val="es-ES_tradnl"/>
        </w:rPr>
        <w:t xml:space="preserve">durante </w:t>
      </w:r>
      <w:r w:rsidR="005347EA">
        <w:rPr>
          <w:rFonts w:ascii="Times New Roman" w:hAnsi="Times New Roman"/>
          <w:sz w:val="20"/>
          <w:szCs w:val="20"/>
          <w:lang w:val="es-ES_tradnl"/>
        </w:rPr>
        <w:t>cinco</w:t>
      </w:r>
      <w:r w:rsidR="00E54B4D">
        <w:rPr>
          <w:rFonts w:ascii="Times New Roman" w:hAnsi="Times New Roman"/>
          <w:sz w:val="20"/>
          <w:szCs w:val="20"/>
          <w:lang w:val="es-ES_tradnl"/>
        </w:rPr>
        <w:t xml:space="preserve"> ciclos</w:t>
      </w:r>
      <w:r w:rsidR="00BF51A1">
        <w:rPr>
          <w:rFonts w:ascii="Times New Roman" w:hAnsi="Times New Roman"/>
          <w:sz w:val="20"/>
          <w:szCs w:val="20"/>
          <w:lang w:val="es-ES_tradnl"/>
        </w:rPr>
        <w:t xml:space="preserve"> y </w:t>
      </w:r>
      <w:r w:rsidR="005347EA">
        <w:rPr>
          <w:rFonts w:ascii="Times New Roman" w:hAnsi="Times New Roman"/>
          <w:sz w:val="20"/>
          <w:szCs w:val="20"/>
          <w:lang w:val="es-ES_tradnl"/>
        </w:rPr>
        <w:t xml:space="preserve">las muestras </w:t>
      </w:r>
      <w:r w:rsidR="00BF51A1">
        <w:rPr>
          <w:rFonts w:ascii="Times New Roman" w:hAnsi="Times New Roman"/>
          <w:sz w:val="20"/>
          <w:szCs w:val="20"/>
          <w:lang w:val="es-ES_tradnl"/>
        </w:rPr>
        <w:t xml:space="preserve">se </w:t>
      </w:r>
      <w:r w:rsidR="00F31F66">
        <w:rPr>
          <w:rFonts w:ascii="Times New Roman" w:hAnsi="Times New Roman"/>
          <w:sz w:val="20"/>
          <w:szCs w:val="20"/>
          <w:lang w:val="es-ES_tradnl"/>
        </w:rPr>
        <w:t>recolectaron</w:t>
      </w:r>
      <w:r w:rsidR="00F37AFC">
        <w:rPr>
          <w:rFonts w:ascii="Times New Roman" w:hAnsi="Times New Roman"/>
          <w:sz w:val="20"/>
          <w:szCs w:val="20"/>
          <w:lang w:val="es-ES_tradnl"/>
        </w:rPr>
        <w:t xml:space="preserve"> 7 h de</w:t>
      </w:r>
      <w:r w:rsidR="005347EA">
        <w:rPr>
          <w:rFonts w:ascii="Times New Roman" w:hAnsi="Times New Roman"/>
          <w:sz w:val="20"/>
          <w:szCs w:val="20"/>
          <w:lang w:val="es-ES_tradnl"/>
        </w:rPr>
        <w:t>spués de</w:t>
      </w:r>
      <w:r w:rsidR="00F37AFC">
        <w:rPr>
          <w:rFonts w:ascii="Times New Roman" w:hAnsi="Times New Roman"/>
          <w:sz w:val="20"/>
          <w:szCs w:val="20"/>
          <w:lang w:val="es-ES_tradnl"/>
        </w:rPr>
        <w:t xml:space="preserve"> iniciar cada c</w:t>
      </w:r>
      <w:r w:rsidR="00F31F66">
        <w:rPr>
          <w:rFonts w:ascii="Times New Roman" w:hAnsi="Times New Roman"/>
          <w:sz w:val="20"/>
          <w:szCs w:val="20"/>
          <w:lang w:val="es-ES_tradnl"/>
        </w:rPr>
        <w:t>iclo</w:t>
      </w:r>
      <w:r w:rsidR="00F37AFC">
        <w:rPr>
          <w:rFonts w:ascii="Times New Roman" w:hAnsi="Times New Roman"/>
          <w:sz w:val="20"/>
          <w:szCs w:val="20"/>
          <w:lang w:val="es-ES_tradnl"/>
        </w:rPr>
        <w:t>.</w:t>
      </w:r>
      <w:r w:rsidR="00F31F66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F37AFC">
        <w:rPr>
          <w:rFonts w:ascii="Times New Roman" w:hAnsi="Times New Roman"/>
          <w:sz w:val="20"/>
          <w:szCs w:val="20"/>
          <w:lang w:val="es-ES_tradnl"/>
        </w:rPr>
        <w:t xml:space="preserve">Hasta el momento se </w:t>
      </w:r>
      <w:r w:rsidR="00BF51A1">
        <w:rPr>
          <w:rFonts w:ascii="Times New Roman" w:hAnsi="Times New Roman"/>
          <w:sz w:val="20"/>
          <w:szCs w:val="20"/>
          <w:lang w:val="es-ES_tradnl"/>
        </w:rPr>
        <w:t>encontró qu</w:t>
      </w:r>
      <w:r w:rsidR="00C77C96">
        <w:rPr>
          <w:rFonts w:ascii="Times New Roman" w:hAnsi="Times New Roman"/>
          <w:sz w:val="20"/>
          <w:szCs w:val="20"/>
          <w:lang w:val="es-ES_tradnl"/>
        </w:rPr>
        <w:t xml:space="preserve">e, </w:t>
      </w:r>
      <w:r w:rsidR="00C77C96" w:rsidRPr="00C71C16">
        <w:rPr>
          <w:rFonts w:ascii="Times New Roman" w:hAnsi="Times New Roman"/>
          <w:sz w:val="20"/>
          <w:szCs w:val="20"/>
          <w:lang w:val="es-ES_tradnl"/>
        </w:rPr>
        <w:t xml:space="preserve">en el tratamiento sin reguladores los fenotipos verde y variegado </w:t>
      </w:r>
      <w:r w:rsidR="00F31F66" w:rsidRPr="00C71C16">
        <w:rPr>
          <w:rFonts w:ascii="Times New Roman" w:hAnsi="Times New Roman"/>
          <w:sz w:val="20"/>
          <w:szCs w:val="20"/>
          <w:lang w:val="es-ES_tradnl"/>
        </w:rPr>
        <w:t>formaban raíces, no así para el fenotipo albino. Las pl</w:t>
      </w:r>
      <w:r w:rsidR="005347EA">
        <w:rPr>
          <w:rFonts w:ascii="Times New Roman" w:hAnsi="Times New Roman"/>
          <w:sz w:val="20"/>
          <w:szCs w:val="20"/>
          <w:lang w:val="es-ES_tradnl"/>
        </w:rPr>
        <w:t>ántulas</w:t>
      </w:r>
      <w:r w:rsidR="00F31F66" w:rsidRPr="00C71C16">
        <w:rPr>
          <w:rFonts w:ascii="Times New Roman" w:hAnsi="Times New Roman"/>
          <w:sz w:val="20"/>
          <w:szCs w:val="20"/>
          <w:lang w:val="es-ES_tradnl"/>
        </w:rPr>
        <w:t xml:space="preserve"> albinas sólo lograron formar raíces en presencia de 2,4-D y ausencia de BA</w:t>
      </w:r>
      <w:r w:rsidR="00F31F66">
        <w:rPr>
          <w:rFonts w:ascii="Times New Roman" w:hAnsi="Times New Roman"/>
          <w:sz w:val="20"/>
          <w:szCs w:val="20"/>
          <w:lang w:val="es-ES_tradnl"/>
        </w:rPr>
        <w:t xml:space="preserve">. </w:t>
      </w:r>
      <w:r w:rsidR="00F37AFC">
        <w:rPr>
          <w:rFonts w:ascii="Times New Roman" w:hAnsi="Times New Roman"/>
          <w:sz w:val="20"/>
          <w:szCs w:val="20"/>
          <w:lang w:val="es-ES_tradnl"/>
        </w:rPr>
        <w:t xml:space="preserve">En la segunda etapa de este trabajo se pretende identificar y cuantificar el contenido endógeno de citocininas y </w:t>
      </w:r>
      <w:bookmarkStart w:id="0" w:name="_GoBack"/>
      <w:bookmarkEnd w:id="0"/>
      <w:r w:rsidR="008F55AD">
        <w:rPr>
          <w:rFonts w:ascii="Times New Roman" w:hAnsi="Times New Roman"/>
          <w:sz w:val="20"/>
          <w:szCs w:val="20"/>
          <w:lang w:val="es-ES_tradnl"/>
        </w:rPr>
        <w:t>auxinas,</w:t>
      </w:r>
      <w:r w:rsidR="005347EA">
        <w:rPr>
          <w:rFonts w:ascii="Times New Roman" w:hAnsi="Times New Roman"/>
          <w:sz w:val="20"/>
          <w:szCs w:val="20"/>
          <w:lang w:val="es-ES_tradnl"/>
        </w:rPr>
        <w:t xml:space="preserve"> así como </w:t>
      </w:r>
      <w:r w:rsidR="006D66E8">
        <w:rPr>
          <w:rFonts w:ascii="Times New Roman" w:hAnsi="Times New Roman"/>
          <w:sz w:val="20"/>
          <w:szCs w:val="20"/>
          <w:lang w:val="es-ES_tradnl"/>
        </w:rPr>
        <w:t>cuantificar</w:t>
      </w:r>
      <w:r w:rsidR="00F37AFC">
        <w:rPr>
          <w:rFonts w:ascii="Times New Roman" w:hAnsi="Times New Roman"/>
          <w:sz w:val="20"/>
          <w:szCs w:val="20"/>
          <w:lang w:val="es-ES_tradnl"/>
        </w:rPr>
        <w:t xml:space="preserve"> </w:t>
      </w:r>
      <w:r w:rsidR="006D66E8">
        <w:rPr>
          <w:rFonts w:ascii="Times New Roman" w:hAnsi="Times New Roman"/>
          <w:sz w:val="20"/>
          <w:szCs w:val="20"/>
          <w:lang w:val="es-ES_tradnl"/>
        </w:rPr>
        <w:t xml:space="preserve">el </w:t>
      </w:r>
      <w:r w:rsidR="00F37AFC">
        <w:rPr>
          <w:rFonts w:ascii="Times New Roman" w:hAnsi="Times New Roman"/>
          <w:sz w:val="20"/>
          <w:szCs w:val="20"/>
          <w:lang w:val="es-ES_tradnl"/>
        </w:rPr>
        <w:t xml:space="preserve">nivel de expresión </w:t>
      </w:r>
      <w:r w:rsidR="005347EA">
        <w:rPr>
          <w:rFonts w:ascii="Times New Roman" w:hAnsi="Times New Roman"/>
          <w:sz w:val="20"/>
          <w:szCs w:val="20"/>
          <w:lang w:val="es-ES_tradnl"/>
        </w:rPr>
        <w:t>transcripcional</w:t>
      </w:r>
      <w:r w:rsidR="00F37AFC">
        <w:rPr>
          <w:rFonts w:ascii="Times New Roman" w:hAnsi="Times New Roman"/>
          <w:sz w:val="20"/>
          <w:szCs w:val="20"/>
          <w:lang w:val="es-ES_tradnl"/>
        </w:rPr>
        <w:t xml:space="preserve"> de los receptores y reguladores de respuesta </w:t>
      </w:r>
      <w:r w:rsidR="00F37AFC" w:rsidRPr="006D66E8">
        <w:rPr>
          <w:rFonts w:ascii="Times New Roman" w:hAnsi="Times New Roman"/>
          <w:sz w:val="20"/>
          <w:szCs w:val="20"/>
          <w:lang w:val="es-ES_tradnl"/>
        </w:rPr>
        <w:t>a</w:t>
      </w:r>
      <w:r w:rsidR="00F37AFC">
        <w:rPr>
          <w:rFonts w:ascii="Times New Roman" w:hAnsi="Times New Roman"/>
          <w:sz w:val="20"/>
          <w:szCs w:val="20"/>
          <w:lang w:val="es-ES_tradnl"/>
        </w:rPr>
        <w:t xml:space="preserve"> citocininas </w:t>
      </w:r>
      <w:r w:rsidR="006D66E8">
        <w:rPr>
          <w:rFonts w:ascii="Times New Roman" w:hAnsi="Times New Roman"/>
          <w:sz w:val="20"/>
          <w:szCs w:val="20"/>
          <w:lang w:val="es-ES_tradnl"/>
        </w:rPr>
        <w:t>y medir la capacidad fotosintética de las pl</w:t>
      </w:r>
      <w:r w:rsidR="005347EA">
        <w:rPr>
          <w:rFonts w:ascii="Times New Roman" w:hAnsi="Times New Roman"/>
          <w:sz w:val="20"/>
          <w:szCs w:val="20"/>
          <w:lang w:val="es-ES_tradnl"/>
        </w:rPr>
        <w:t>ántulas en los diferentes tratamientos.</w:t>
      </w:r>
      <w:r w:rsidR="006D66E8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14:paraId="4B018EE1" w14:textId="77777777" w:rsidR="00F301C5" w:rsidRPr="00A8493A" w:rsidRDefault="00F301C5" w:rsidP="00F301C5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s-ES_tradnl"/>
        </w:rPr>
      </w:pPr>
      <w:r w:rsidRPr="00A8493A">
        <w:rPr>
          <w:rFonts w:ascii="Times New Roman" w:hAnsi="Times New Roman"/>
          <w:b/>
          <w:sz w:val="20"/>
          <w:szCs w:val="20"/>
          <w:lang w:val="es-ES_tradnl"/>
        </w:rPr>
        <w:t>Palabras clave:</w:t>
      </w:r>
      <w:r w:rsidR="00DF17AF">
        <w:rPr>
          <w:rFonts w:ascii="Times New Roman" w:hAnsi="Times New Roman"/>
          <w:b/>
          <w:sz w:val="20"/>
          <w:szCs w:val="20"/>
          <w:lang w:val="es-ES_tradnl"/>
        </w:rPr>
        <w:t xml:space="preserve"> </w:t>
      </w:r>
      <w:r w:rsidR="00DF17AF" w:rsidRPr="00DF17AF">
        <w:rPr>
          <w:rFonts w:ascii="Times New Roman" w:hAnsi="Times New Roman"/>
          <w:i/>
          <w:sz w:val="20"/>
          <w:szCs w:val="20"/>
          <w:lang w:val="es-ES_tradnl"/>
        </w:rPr>
        <w:t xml:space="preserve">Agave angustifolia, </w:t>
      </w:r>
      <w:r w:rsidR="00DF17AF" w:rsidRPr="00DF17AF">
        <w:rPr>
          <w:rFonts w:ascii="Times New Roman" w:hAnsi="Times New Roman"/>
          <w:sz w:val="20"/>
          <w:szCs w:val="20"/>
          <w:lang w:val="es-ES_tradnl"/>
        </w:rPr>
        <w:t>citocininas, albinismo, variación somaclonal</w:t>
      </w:r>
      <w:r w:rsidR="00DF17AF" w:rsidRPr="00DF17AF">
        <w:rPr>
          <w:rFonts w:ascii="Times New Roman" w:hAnsi="Times New Roman"/>
          <w:b/>
          <w:sz w:val="20"/>
          <w:szCs w:val="20"/>
          <w:lang w:val="es-ES_tradnl"/>
        </w:rPr>
        <w:t>.</w:t>
      </w:r>
      <w:r w:rsidRPr="00A8493A">
        <w:rPr>
          <w:rFonts w:ascii="Times New Roman" w:hAnsi="Times New Roman"/>
          <w:sz w:val="20"/>
          <w:szCs w:val="20"/>
          <w:lang w:val="es-ES_tradnl"/>
        </w:rPr>
        <w:t xml:space="preserve"> </w:t>
      </w:r>
    </w:p>
    <w:p w14:paraId="15D33777" w14:textId="77777777" w:rsidR="005347EA" w:rsidRPr="00E5282F" w:rsidRDefault="005347EA" w:rsidP="00F301C5">
      <w:pPr>
        <w:spacing w:after="120" w:line="360" w:lineRule="auto"/>
        <w:rPr>
          <w:rFonts w:ascii="Times New Roman" w:hAnsi="Times New Roman"/>
          <w:b/>
          <w:caps/>
          <w:lang w:val="es-MX"/>
        </w:rPr>
      </w:pPr>
    </w:p>
    <w:p w14:paraId="63038F05" w14:textId="77777777" w:rsidR="005347EA" w:rsidRPr="00E5282F" w:rsidRDefault="005347EA" w:rsidP="00F301C5">
      <w:pPr>
        <w:spacing w:after="120" w:line="360" w:lineRule="auto"/>
        <w:rPr>
          <w:rFonts w:ascii="Times New Roman" w:hAnsi="Times New Roman"/>
          <w:b/>
          <w:caps/>
          <w:lang w:val="es-MX"/>
        </w:rPr>
      </w:pPr>
    </w:p>
    <w:p w14:paraId="1A9294E6" w14:textId="77777777" w:rsidR="005347EA" w:rsidRPr="00E5282F" w:rsidRDefault="005347EA" w:rsidP="00F301C5">
      <w:pPr>
        <w:spacing w:after="120" w:line="360" w:lineRule="auto"/>
        <w:rPr>
          <w:rFonts w:ascii="Times New Roman" w:hAnsi="Times New Roman"/>
          <w:b/>
          <w:caps/>
          <w:lang w:val="es-MX"/>
        </w:rPr>
      </w:pPr>
    </w:p>
    <w:p w14:paraId="04670C7B" w14:textId="77777777" w:rsidR="005347EA" w:rsidRPr="00E5282F" w:rsidRDefault="005347EA" w:rsidP="00F301C5">
      <w:pPr>
        <w:spacing w:after="120" w:line="360" w:lineRule="auto"/>
        <w:rPr>
          <w:rFonts w:ascii="Times New Roman" w:hAnsi="Times New Roman"/>
          <w:b/>
          <w:caps/>
          <w:lang w:val="es-MX"/>
        </w:rPr>
      </w:pPr>
    </w:p>
    <w:p w14:paraId="005684C2" w14:textId="77777777" w:rsidR="005347EA" w:rsidRPr="00E5282F" w:rsidRDefault="005347EA" w:rsidP="00F301C5">
      <w:pPr>
        <w:spacing w:after="120" w:line="360" w:lineRule="auto"/>
        <w:rPr>
          <w:rFonts w:ascii="Times New Roman" w:hAnsi="Times New Roman"/>
          <w:b/>
          <w:caps/>
          <w:lang w:val="es-MX"/>
        </w:rPr>
      </w:pPr>
    </w:p>
    <w:p w14:paraId="122FB130" w14:textId="77777777" w:rsidR="005347EA" w:rsidRPr="00E5282F" w:rsidRDefault="005347EA" w:rsidP="00F301C5">
      <w:pPr>
        <w:spacing w:after="120" w:line="360" w:lineRule="auto"/>
        <w:rPr>
          <w:rFonts w:ascii="Times New Roman" w:hAnsi="Times New Roman"/>
          <w:b/>
          <w:caps/>
          <w:lang w:val="es-MX"/>
        </w:rPr>
      </w:pPr>
    </w:p>
    <w:p w14:paraId="4AAD4672" w14:textId="77777777" w:rsidR="00F301C5" w:rsidRPr="00E5282F" w:rsidRDefault="00F301C5" w:rsidP="00F301C5">
      <w:pPr>
        <w:spacing w:after="120" w:line="360" w:lineRule="auto"/>
        <w:rPr>
          <w:rFonts w:ascii="Times New Roman" w:hAnsi="Times New Roman"/>
          <w:caps/>
          <w:lang w:val="en-US"/>
        </w:rPr>
      </w:pPr>
      <w:r w:rsidRPr="00E5282F">
        <w:rPr>
          <w:rFonts w:ascii="Times New Roman" w:hAnsi="Times New Roman"/>
          <w:b/>
          <w:caps/>
          <w:lang w:val="en-US"/>
        </w:rPr>
        <w:t>Abstract</w:t>
      </w:r>
    </w:p>
    <w:p w14:paraId="74745A9C" w14:textId="057C6CFD" w:rsidR="00C71C16" w:rsidRPr="000B1573" w:rsidRDefault="00DF17AF" w:rsidP="00F301C5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3A7BC9">
        <w:rPr>
          <w:rFonts w:ascii="Times New Roman" w:hAnsi="Times New Roman"/>
          <w:sz w:val="20"/>
          <w:szCs w:val="20"/>
          <w:lang w:val="en-US"/>
        </w:rPr>
        <w:t xml:space="preserve">Plants modulate their growth and development </w:t>
      </w:r>
      <w:r w:rsidR="005347EA">
        <w:rPr>
          <w:rFonts w:ascii="Times New Roman" w:hAnsi="Times New Roman"/>
          <w:sz w:val="20"/>
          <w:szCs w:val="20"/>
          <w:lang w:val="en-US"/>
        </w:rPr>
        <w:t>due to plant</w:t>
      </w:r>
      <w:r w:rsidRPr="003A7BC9">
        <w:rPr>
          <w:rFonts w:ascii="Times New Roman" w:hAnsi="Times New Roman"/>
          <w:sz w:val="20"/>
          <w:szCs w:val="20"/>
          <w:lang w:val="en-US"/>
        </w:rPr>
        <w:t xml:space="preserve"> growth regulators </w:t>
      </w:r>
      <w:r w:rsidR="005347EA">
        <w:rPr>
          <w:rFonts w:ascii="Times New Roman" w:hAnsi="Times New Roman"/>
          <w:sz w:val="20"/>
          <w:szCs w:val="20"/>
          <w:lang w:val="en-US"/>
        </w:rPr>
        <w:t>such as cytokinins and auxins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="00434544">
        <w:rPr>
          <w:rFonts w:ascii="Times New Roman" w:hAnsi="Times New Roman"/>
          <w:sz w:val="20"/>
          <w:szCs w:val="20"/>
          <w:lang w:val="en-US"/>
        </w:rPr>
        <w:t>Cytokinins participate in shoot differentiation, inhibit leaf senescence</w:t>
      </w:r>
      <w:r w:rsidR="005347EA">
        <w:rPr>
          <w:rFonts w:ascii="Times New Roman" w:hAnsi="Times New Roman"/>
          <w:sz w:val="20"/>
          <w:szCs w:val="20"/>
          <w:lang w:val="en-US"/>
        </w:rPr>
        <w:t xml:space="preserve"> and</w:t>
      </w:r>
      <w:r w:rsidR="00434544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B74ECD">
        <w:rPr>
          <w:rFonts w:ascii="Times New Roman" w:hAnsi="Times New Roman"/>
          <w:sz w:val="20"/>
          <w:szCs w:val="20"/>
          <w:lang w:val="en-US"/>
        </w:rPr>
        <w:t xml:space="preserve">stimulate chloroplast differentiations. </w:t>
      </w:r>
      <w:r w:rsidR="00B74ECD" w:rsidRPr="00B74ECD">
        <w:rPr>
          <w:rFonts w:ascii="Times New Roman" w:hAnsi="Times New Roman"/>
          <w:i/>
          <w:sz w:val="20"/>
          <w:szCs w:val="20"/>
          <w:lang w:val="en-US"/>
        </w:rPr>
        <w:t>In vitro</w:t>
      </w:r>
      <w:r w:rsidR="00B74ECD" w:rsidRPr="00B74ECD">
        <w:rPr>
          <w:rFonts w:ascii="Times New Roman" w:hAnsi="Times New Roman"/>
          <w:sz w:val="20"/>
          <w:szCs w:val="20"/>
          <w:lang w:val="en-US"/>
        </w:rPr>
        <w:t xml:space="preserve"> culture, both cytokinins and auxins, are used to </w:t>
      </w:r>
      <w:r w:rsidR="00B74ECD">
        <w:rPr>
          <w:rFonts w:ascii="Times New Roman" w:hAnsi="Times New Roman"/>
          <w:sz w:val="20"/>
          <w:szCs w:val="20"/>
          <w:lang w:val="en-US"/>
        </w:rPr>
        <w:t xml:space="preserve">modify plant’s response </w:t>
      </w:r>
      <w:r w:rsidR="005347EA">
        <w:rPr>
          <w:rFonts w:ascii="Times New Roman" w:hAnsi="Times New Roman"/>
          <w:sz w:val="20"/>
          <w:szCs w:val="20"/>
          <w:lang w:val="en-US"/>
        </w:rPr>
        <w:t xml:space="preserve">for </w:t>
      </w:r>
      <w:r w:rsidR="00B74ECD">
        <w:rPr>
          <w:rFonts w:ascii="Times New Roman" w:hAnsi="Times New Roman"/>
          <w:sz w:val="20"/>
          <w:szCs w:val="20"/>
          <w:lang w:val="en-US"/>
        </w:rPr>
        <w:t xml:space="preserve">a specific purpose. </w:t>
      </w:r>
      <w:r w:rsidR="00B74ECD" w:rsidRPr="00B74ECD">
        <w:rPr>
          <w:rFonts w:ascii="Times New Roman" w:hAnsi="Times New Roman"/>
          <w:sz w:val="20"/>
          <w:szCs w:val="20"/>
          <w:lang w:val="en-US"/>
        </w:rPr>
        <w:t xml:space="preserve">For </w:t>
      </w:r>
      <w:r w:rsidR="00B74ECD" w:rsidRPr="00B74ECD">
        <w:rPr>
          <w:rFonts w:ascii="Times New Roman" w:hAnsi="Times New Roman"/>
          <w:i/>
          <w:sz w:val="20"/>
          <w:szCs w:val="20"/>
          <w:lang w:val="en-US"/>
        </w:rPr>
        <w:t xml:space="preserve">Agave angustifolia </w:t>
      </w:r>
      <w:r w:rsidR="00B74ECD" w:rsidRPr="00B74ECD">
        <w:rPr>
          <w:rFonts w:ascii="Times New Roman" w:hAnsi="Times New Roman"/>
          <w:sz w:val="20"/>
          <w:szCs w:val="20"/>
          <w:lang w:val="en-US"/>
        </w:rPr>
        <w:t>Haw. micropropagation</w:t>
      </w:r>
      <w:r w:rsidR="005347EA">
        <w:rPr>
          <w:rFonts w:ascii="Times New Roman" w:hAnsi="Times New Roman"/>
          <w:sz w:val="20"/>
          <w:szCs w:val="20"/>
          <w:lang w:val="en-US"/>
        </w:rPr>
        <w:t>, it is used</w:t>
      </w:r>
      <w:r w:rsidR="00B74ECD" w:rsidRPr="00B74ECD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B74ECD" w:rsidRPr="00B74ECD">
        <w:rPr>
          <w:rFonts w:ascii="Times New Roman" w:hAnsi="Times New Roman"/>
          <w:sz w:val="20"/>
          <w:szCs w:val="20"/>
          <w:lang w:val="en-US"/>
        </w:rPr>
        <w:t>benciladenine</w:t>
      </w:r>
      <w:proofErr w:type="spellEnd"/>
      <w:r w:rsidR="00B74ECD" w:rsidRPr="00B74ECD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347EA">
        <w:rPr>
          <w:rFonts w:ascii="Times New Roman" w:hAnsi="Times New Roman"/>
          <w:sz w:val="20"/>
          <w:szCs w:val="20"/>
          <w:lang w:val="en-US"/>
        </w:rPr>
        <w:t xml:space="preserve">(BA) </w:t>
      </w:r>
      <w:r w:rsidR="00B74ECD" w:rsidRPr="00B74ECD">
        <w:rPr>
          <w:rFonts w:ascii="Times New Roman" w:hAnsi="Times New Roman"/>
          <w:sz w:val="20"/>
          <w:szCs w:val="20"/>
          <w:lang w:val="en-US"/>
        </w:rPr>
        <w:t>an</w:t>
      </w:r>
      <w:r w:rsidR="00B74ECD">
        <w:rPr>
          <w:rFonts w:ascii="Times New Roman" w:hAnsi="Times New Roman"/>
          <w:sz w:val="20"/>
          <w:szCs w:val="20"/>
          <w:lang w:val="en-US"/>
        </w:rPr>
        <w:t xml:space="preserve">d 2,4-D, </w:t>
      </w:r>
      <w:r w:rsidR="005347EA">
        <w:rPr>
          <w:rFonts w:ascii="Times New Roman" w:hAnsi="Times New Roman"/>
          <w:sz w:val="20"/>
          <w:szCs w:val="20"/>
          <w:lang w:val="en-US"/>
        </w:rPr>
        <w:t xml:space="preserve">a cytokinin and an auxin, </w:t>
      </w:r>
      <w:r w:rsidR="00B74ECD">
        <w:rPr>
          <w:rFonts w:ascii="Times New Roman" w:hAnsi="Times New Roman"/>
          <w:sz w:val="20"/>
          <w:szCs w:val="20"/>
          <w:lang w:val="en-US"/>
        </w:rPr>
        <w:t xml:space="preserve">respectively. In this </w:t>
      </w:r>
      <w:r w:rsidR="005347EA">
        <w:rPr>
          <w:rFonts w:ascii="Times New Roman" w:hAnsi="Times New Roman"/>
          <w:sz w:val="20"/>
          <w:szCs w:val="20"/>
          <w:lang w:val="en-US"/>
        </w:rPr>
        <w:t>work</w:t>
      </w:r>
      <w:r w:rsidR="00B74ECD">
        <w:rPr>
          <w:rFonts w:ascii="Times New Roman" w:hAnsi="Times New Roman"/>
          <w:sz w:val="20"/>
          <w:szCs w:val="20"/>
          <w:lang w:val="en-US"/>
        </w:rPr>
        <w:t xml:space="preserve">, four different concentration of </w:t>
      </w:r>
      <w:r w:rsidR="005347EA">
        <w:rPr>
          <w:rFonts w:ascii="Times New Roman" w:hAnsi="Times New Roman"/>
          <w:sz w:val="20"/>
          <w:szCs w:val="20"/>
          <w:lang w:val="en-US"/>
        </w:rPr>
        <w:t xml:space="preserve">BA </w:t>
      </w:r>
      <w:r w:rsidR="00B74ECD">
        <w:rPr>
          <w:rFonts w:ascii="Times New Roman" w:hAnsi="Times New Roman"/>
          <w:sz w:val="20"/>
          <w:szCs w:val="20"/>
          <w:lang w:val="en-US"/>
        </w:rPr>
        <w:t xml:space="preserve">were used in 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green, variegate and albino </w:t>
      </w:r>
      <w:r w:rsidR="005347EA">
        <w:rPr>
          <w:rFonts w:ascii="Times New Roman" w:hAnsi="Times New Roman"/>
          <w:sz w:val="20"/>
          <w:szCs w:val="20"/>
          <w:lang w:val="en-US"/>
        </w:rPr>
        <w:t>plantlets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0B1573" w:rsidRPr="000B1573">
        <w:rPr>
          <w:rFonts w:ascii="Times New Roman" w:hAnsi="Times New Roman"/>
          <w:sz w:val="20"/>
          <w:szCs w:val="20"/>
          <w:lang w:val="en-US"/>
        </w:rPr>
        <w:t>Plant</w:t>
      </w:r>
      <w:r w:rsidR="005347EA">
        <w:rPr>
          <w:rFonts w:ascii="Times New Roman" w:hAnsi="Times New Roman"/>
          <w:sz w:val="20"/>
          <w:szCs w:val="20"/>
          <w:lang w:val="en-US"/>
        </w:rPr>
        <w:t>lets</w:t>
      </w:r>
      <w:r w:rsidR="000B1573" w:rsidRPr="000B1573">
        <w:rPr>
          <w:rFonts w:ascii="Times New Roman" w:hAnsi="Times New Roman"/>
          <w:sz w:val="20"/>
          <w:szCs w:val="20"/>
          <w:lang w:val="en-US"/>
        </w:rPr>
        <w:t xml:space="preserve"> were </w:t>
      </w:r>
      <w:proofErr w:type="spellStart"/>
      <w:r w:rsidR="000B1573" w:rsidRPr="000B1573">
        <w:rPr>
          <w:rFonts w:ascii="Times New Roman" w:hAnsi="Times New Roman"/>
          <w:sz w:val="20"/>
          <w:szCs w:val="20"/>
          <w:lang w:val="en-US"/>
        </w:rPr>
        <w:t>subcultivated</w:t>
      </w:r>
      <w:proofErr w:type="spellEnd"/>
      <w:r w:rsidR="000B1573" w:rsidRPr="000B1573">
        <w:rPr>
          <w:rFonts w:ascii="Times New Roman" w:hAnsi="Times New Roman"/>
          <w:sz w:val="20"/>
          <w:szCs w:val="20"/>
          <w:lang w:val="en-US"/>
        </w:rPr>
        <w:t xml:space="preserve"> during five cycles and 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0B1573" w:rsidRPr="000B1573">
        <w:rPr>
          <w:rFonts w:ascii="Times New Roman" w:hAnsi="Times New Roman"/>
          <w:sz w:val="20"/>
          <w:szCs w:val="20"/>
          <w:lang w:val="en-US"/>
        </w:rPr>
        <w:t>s</w:t>
      </w:r>
      <w:r w:rsidR="000B1573">
        <w:rPr>
          <w:rFonts w:ascii="Times New Roman" w:hAnsi="Times New Roman"/>
          <w:sz w:val="20"/>
          <w:szCs w:val="20"/>
          <w:lang w:val="en-US"/>
        </w:rPr>
        <w:t>a</w:t>
      </w:r>
      <w:r w:rsidR="000B1573" w:rsidRPr="000B1573">
        <w:rPr>
          <w:rFonts w:ascii="Times New Roman" w:hAnsi="Times New Roman"/>
          <w:sz w:val="20"/>
          <w:szCs w:val="20"/>
          <w:lang w:val="en-US"/>
        </w:rPr>
        <w:t>mples w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ere collected 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after </w:t>
      </w:r>
      <w:r w:rsidR="000B1573">
        <w:rPr>
          <w:rFonts w:ascii="Times New Roman" w:hAnsi="Times New Roman"/>
          <w:sz w:val="20"/>
          <w:szCs w:val="20"/>
          <w:lang w:val="en-US"/>
        </w:rPr>
        <w:t>seven hours of every cycle. Until now</w:t>
      </w:r>
      <w:r w:rsidR="00DB67A0">
        <w:rPr>
          <w:rFonts w:ascii="Times New Roman" w:hAnsi="Times New Roman"/>
          <w:sz w:val="20"/>
          <w:szCs w:val="20"/>
          <w:lang w:val="en-US"/>
        </w:rPr>
        <w:t>,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 we have found that in 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treatment without 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plant growth 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regulators, only 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green and 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variegate </w:t>
      </w:r>
      <w:r w:rsidR="00C71C16">
        <w:rPr>
          <w:rFonts w:ascii="Times New Roman" w:hAnsi="Times New Roman"/>
          <w:sz w:val="20"/>
          <w:szCs w:val="20"/>
          <w:lang w:val="en-US"/>
        </w:rPr>
        <w:t>phenotypes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DB67A0">
        <w:rPr>
          <w:rFonts w:ascii="Times New Roman" w:hAnsi="Times New Roman"/>
          <w:sz w:val="20"/>
          <w:szCs w:val="20"/>
          <w:lang w:val="en-US"/>
        </w:rPr>
        <w:t>give rise to roots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, not </w:t>
      </w:r>
      <w:r w:rsidR="00C71C16">
        <w:rPr>
          <w:rFonts w:ascii="Times New Roman" w:hAnsi="Times New Roman"/>
          <w:sz w:val="20"/>
          <w:szCs w:val="20"/>
          <w:lang w:val="en-US"/>
        </w:rPr>
        <w:t>so for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 albin</w:t>
      </w:r>
      <w:r w:rsidR="00C71C16">
        <w:rPr>
          <w:rFonts w:ascii="Times New Roman" w:hAnsi="Times New Roman"/>
          <w:sz w:val="20"/>
          <w:szCs w:val="20"/>
          <w:lang w:val="en-US"/>
        </w:rPr>
        <w:t>o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 plant</w:t>
      </w:r>
      <w:r w:rsidR="00DB67A0">
        <w:rPr>
          <w:rFonts w:ascii="Times New Roman" w:hAnsi="Times New Roman"/>
          <w:sz w:val="20"/>
          <w:szCs w:val="20"/>
          <w:lang w:val="en-US"/>
        </w:rPr>
        <w:t>lets</w:t>
      </w:r>
      <w:r w:rsidR="00C71C16">
        <w:rPr>
          <w:rFonts w:ascii="Times New Roman" w:hAnsi="Times New Roman"/>
          <w:sz w:val="20"/>
          <w:szCs w:val="20"/>
          <w:lang w:val="en-US"/>
        </w:rPr>
        <w:t>.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C71C16">
        <w:rPr>
          <w:rFonts w:ascii="Times New Roman" w:hAnsi="Times New Roman"/>
          <w:sz w:val="20"/>
          <w:szCs w:val="20"/>
          <w:lang w:val="en-US"/>
        </w:rPr>
        <w:t>Albino plant</w:t>
      </w:r>
      <w:r w:rsidR="00DB67A0">
        <w:rPr>
          <w:rFonts w:ascii="Times New Roman" w:hAnsi="Times New Roman"/>
          <w:sz w:val="20"/>
          <w:szCs w:val="20"/>
          <w:lang w:val="en-US"/>
        </w:rPr>
        <w:t>lets</w:t>
      </w:r>
      <w:r w:rsidR="00C71C1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B1573">
        <w:rPr>
          <w:rFonts w:ascii="Times New Roman" w:hAnsi="Times New Roman"/>
          <w:sz w:val="20"/>
          <w:szCs w:val="20"/>
          <w:lang w:val="en-US"/>
        </w:rPr>
        <w:t xml:space="preserve">only </w:t>
      </w:r>
      <w:r w:rsidR="00DB67A0">
        <w:rPr>
          <w:rFonts w:ascii="Times New Roman" w:hAnsi="Times New Roman"/>
          <w:sz w:val="20"/>
          <w:szCs w:val="20"/>
          <w:lang w:val="en-US"/>
        </w:rPr>
        <w:t>rooting</w:t>
      </w:r>
      <w:r w:rsidR="00C71C16">
        <w:rPr>
          <w:rFonts w:ascii="Times New Roman" w:hAnsi="Times New Roman"/>
          <w:sz w:val="20"/>
          <w:szCs w:val="20"/>
          <w:lang w:val="en-US"/>
        </w:rPr>
        <w:t xml:space="preserve"> in presence of 2,4-D </w:t>
      </w:r>
      <w:r w:rsidR="00DB67A0">
        <w:rPr>
          <w:rFonts w:ascii="Times New Roman" w:hAnsi="Times New Roman"/>
          <w:sz w:val="20"/>
          <w:szCs w:val="20"/>
          <w:lang w:val="en-US"/>
        </w:rPr>
        <w:t>without BA</w:t>
      </w:r>
      <w:r w:rsidR="00C71C16">
        <w:rPr>
          <w:rFonts w:ascii="Times New Roman" w:hAnsi="Times New Roman"/>
          <w:sz w:val="20"/>
          <w:szCs w:val="20"/>
          <w:lang w:val="en-US"/>
        </w:rPr>
        <w:t>. In the second phase of this work, we pretend to quantify and identify endogenous cytokinins and auxins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 as well as to</w:t>
      </w:r>
      <w:r w:rsidR="00C71C16">
        <w:rPr>
          <w:rFonts w:ascii="Times New Roman" w:hAnsi="Times New Roman"/>
          <w:sz w:val="20"/>
          <w:szCs w:val="20"/>
          <w:lang w:val="en-US"/>
        </w:rPr>
        <w:t xml:space="preserve"> quantify 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the transcription </w:t>
      </w:r>
      <w:r w:rsidR="00C71C16">
        <w:rPr>
          <w:rFonts w:ascii="Times New Roman" w:hAnsi="Times New Roman"/>
          <w:sz w:val="20"/>
          <w:szCs w:val="20"/>
          <w:lang w:val="en-US"/>
        </w:rPr>
        <w:t xml:space="preserve">levels of receptors and response regulators to cytokinins and measure </w:t>
      </w:r>
      <w:r w:rsidR="004F690A">
        <w:rPr>
          <w:rFonts w:ascii="Times New Roman" w:hAnsi="Times New Roman"/>
          <w:sz w:val="20"/>
          <w:szCs w:val="20"/>
          <w:lang w:val="en-US"/>
        </w:rPr>
        <w:t>photosynthetic</w:t>
      </w:r>
      <w:r w:rsidR="00C71C16">
        <w:rPr>
          <w:rFonts w:ascii="Times New Roman" w:hAnsi="Times New Roman"/>
          <w:sz w:val="20"/>
          <w:szCs w:val="20"/>
          <w:lang w:val="en-US"/>
        </w:rPr>
        <w:t xml:space="preserve"> capacity of the plant</w:t>
      </w:r>
      <w:r w:rsidR="00DB67A0">
        <w:rPr>
          <w:rFonts w:ascii="Times New Roman" w:hAnsi="Times New Roman"/>
          <w:sz w:val="20"/>
          <w:szCs w:val="20"/>
          <w:lang w:val="en-US"/>
        </w:rPr>
        <w:t>let</w:t>
      </w:r>
      <w:r w:rsidR="00C71C16">
        <w:rPr>
          <w:rFonts w:ascii="Times New Roman" w:hAnsi="Times New Roman"/>
          <w:sz w:val="20"/>
          <w:szCs w:val="20"/>
          <w:lang w:val="en-US"/>
        </w:rPr>
        <w:t>s</w:t>
      </w:r>
      <w:r w:rsidR="00DB67A0">
        <w:rPr>
          <w:rFonts w:ascii="Times New Roman" w:hAnsi="Times New Roman"/>
          <w:sz w:val="20"/>
          <w:szCs w:val="20"/>
          <w:lang w:val="en-US"/>
        </w:rPr>
        <w:t xml:space="preserve"> in the different treatments</w:t>
      </w:r>
      <w:r w:rsidR="004F690A">
        <w:rPr>
          <w:rFonts w:ascii="Times New Roman" w:hAnsi="Times New Roman"/>
          <w:sz w:val="20"/>
          <w:szCs w:val="20"/>
          <w:lang w:val="en-US"/>
        </w:rPr>
        <w:t>.</w:t>
      </w:r>
    </w:p>
    <w:p w14:paraId="2EC504DD" w14:textId="77777777" w:rsidR="00F301C5" w:rsidRPr="004F690A" w:rsidRDefault="00F301C5" w:rsidP="00F301C5">
      <w:pPr>
        <w:spacing w:after="120" w:line="360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4F690A">
        <w:rPr>
          <w:rFonts w:ascii="Times New Roman" w:hAnsi="Times New Roman"/>
          <w:b/>
          <w:sz w:val="20"/>
          <w:szCs w:val="20"/>
          <w:lang w:val="en-US"/>
        </w:rPr>
        <w:t>Key words:</w:t>
      </w:r>
      <w:r w:rsidRPr="004F690A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4F690A" w:rsidRPr="004F690A">
        <w:rPr>
          <w:rFonts w:ascii="Times New Roman" w:hAnsi="Times New Roman"/>
          <w:i/>
          <w:sz w:val="20"/>
          <w:szCs w:val="20"/>
          <w:lang w:val="en-US"/>
        </w:rPr>
        <w:t xml:space="preserve">Agave angustifolia, </w:t>
      </w:r>
      <w:r w:rsidR="004F690A" w:rsidRPr="004F690A">
        <w:rPr>
          <w:rFonts w:ascii="Times New Roman" w:hAnsi="Times New Roman"/>
          <w:sz w:val="20"/>
          <w:szCs w:val="20"/>
          <w:lang w:val="en-US"/>
        </w:rPr>
        <w:t>c</w:t>
      </w:r>
      <w:r w:rsidR="004F690A">
        <w:rPr>
          <w:rFonts w:ascii="Times New Roman" w:hAnsi="Times New Roman"/>
          <w:sz w:val="20"/>
          <w:szCs w:val="20"/>
          <w:lang w:val="en-US"/>
        </w:rPr>
        <w:t>ytokinins, albinism, somaclonal variation.</w:t>
      </w:r>
    </w:p>
    <w:p w14:paraId="5758653B" w14:textId="77777777" w:rsidR="00F301C5" w:rsidRPr="004F690A" w:rsidRDefault="00F301C5" w:rsidP="00F301C5">
      <w:pPr>
        <w:rPr>
          <w:lang w:val="en-US"/>
        </w:rPr>
      </w:pPr>
    </w:p>
    <w:p w14:paraId="75306531" w14:textId="77777777" w:rsidR="00F85DC9" w:rsidRPr="004F690A" w:rsidRDefault="00F85DC9">
      <w:pPr>
        <w:rPr>
          <w:lang w:val="en-US"/>
        </w:rPr>
      </w:pPr>
    </w:p>
    <w:sectPr w:rsidR="00F85DC9" w:rsidRPr="004F690A" w:rsidSect="00D911CB">
      <w:footerReference w:type="default" r:id="rId8"/>
      <w:pgSz w:w="9639" w:h="14402"/>
      <w:pgMar w:top="567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DAAF" w14:textId="77777777" w:rsidR="007F4F46" w:rsidRDefault="007F4F46">
      <w:pPr>
        <w:spacing w:after="0" w:line="240" w:lineRule="auto"/>
      </w:pPr>
      <w:r>
        <w:separator/>
      </w:r>
    </w:p>
  </w:endnote>
  <w:endnote w:type="continuationSeparator" w:id="0">
    <w:p w14:paraId="774D180F" w14:textId="77777777" w:rsidR="007F4F46" w:rsidRDefault="007F4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FD0C9" w14:textId="77777777" w:rsidR="00DF17AF" w:rsidRPr="00517B6B" w:rsidRDefault="00DF17AF" w:rsidP="00D911CB">
    <w:pPr>
      <w:spacing w:after="0" w:line="240" w:lineRule="auto"/>
      <w:rPr>
        <w:rFonts w:ascii="Times New Roman" w:hAnsi="Times New Roman"/>
        <w:sz w:val="18"/>
        <w:szCs w:val="18"/>
      </w:rPr>
    </w:pPr>
    <w:r w:rsidRPr="00517B6B">
      <w:rPr>
        <w:rFonts w:ascii="Times New Roman" w:hAnsi="Times New Roman"/>
        <w:b/>
        <w:sz w:val="18"/>
        <w:szCs w:val="18"/>
      </w:rPr>
      <w:t>correo</w:t>
    </w:r>
    <w:r w:rsidRPr="00517B6B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17B6B">
        <w:rPr>
          <w:rStyle w:val="Hipervnculo"/>
          <w:rFonts w:ascii="Times New Roman" w:hAnsi="Times New Roman"/>
          <w:sz w:val="18"/>
          <w:szCs w:val="18"/>
        </w:rPr>
        <w:t>bioveg@bioplantas.cu</w:t>
      </w:r>
    </w:hyperlink>
    <w:r w:rsidRPr="00517B6B">
      <w:rPr>
        <w:rFonts w:ascii="Times New Roman" w:hAnsi="Times New Roman"/>
        <w:sz w:val="18"/>
        <w:szCs w:val="18"/>
      </w:rPr>
      <w:t xml:space="preserve">   </w:t>
    </w:r>
    <w:r w:rsidRPr="00517B6B">
      <w:rPr>
        <w:rFonts w:ascii="Times New Roman" w:hAnsi="Times New Roman"/>
        <w:b/>
        <w:sz w:val="18"/>
        <w:szCs w:val="18"/>
      </w:rPr>
      <w:t>Sitio web</w:t>
    </w:r>
    <w:r w:rsidRPr="00517B6B">
      <w:rPr>
        <w:rFonts w:ascii="Times New Roman" w:hAnsi="Times New Roman"/>
        <w:sz w:val="18"/>
        <w:szCs w:val="18"/>
      </w:rPr>
      <w:t xml:space="preserve">: </w:t>
    </w:r>
    <w:hyperlink r:id="rId2" w:history="1">
      <w:r w:rsidRPr="00517B6B">
        <w:rPr>
          <w:rStyle w:val="Hipervnculo"/>
          <w:rFonts w:ascii="Times New Roman" w:hAnsi="Times New Roman"/>
          <w:sz w:val="18"/>
          <w:szCs w:val="18"/>
        </w:rPr>
        <w:t>http://bioveg.bioplantas.cu</w:t>
      </w:r>
    </w:hyperlink>
    <w:r w:rsidRPr="00517B6B">
      <w:rPr>
        <w:rFonts w:ascii="Times New Roman" w:hAnsi="Times New Roman"/>
        <w:sz w:val="18"/>
        <w:szCs w:val="18"/>
      </w:rPr>
      <w:t xml:space="preserve">   </w:t>
    </w:r>
    <w:r w:rsidRPr="00517B6B">
      <w:rPr>
        <w:rFonts w:ascii="Times New Roman" w:hAnsi="Times New Roman"/>
        <w:b/>
        <w:sz w:val="18"/>
        <w:szCs w:val="18"/>
      </w:rPr>
      <w:t>ISBN</w:t>
    </w:r>
    <w:r w:rsidRPr="00517B6B">
      <w:rPr>
        <w:rFonts w:ascii="Times New Roman" w:hAnsi="Times New Roman"/>
        <w:sz w:val="18"/>
        <w:szCs w:val="18"/>
      </w:rPr>
      <w:t xml:space="preserve">: </w:t>
    </w:r>
  </w:p>
  <w:p w14:paraId="0989A0B0" w14:textId="77777777" w:rsidR="00DF17AF" w:rsidRPr="00344234" w:rsidRDefault="00DF17AF" w:rsidP="00D911CB">
    <w:pPr>
      <w:rPr>
        <w:rFonts w:ascii="Calibri Light" w:eastAsia="Times New Roman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30978" w14:textId="77777777" w:rsidR="007F4F46" w:rsidRDefault="007F4F46">
      <w:pPr>
        <w:spacing w:after="0" w:line="240" w:lineRule="auto"/>
      </w:pPr>
      <w:r>
        <w:separator/>
      </w:r>
    </w:p>
  </w:footnote>
  <w:footnote w:type="continuationSeparator" w:id="0">
    <w:p w14:paraId="004A7B53" w14:textId="77777777" w:rsidR="007F4F46" w:rsidRDefault="007F4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C5"/>
    <w:rsid w:val="00083CDB"/>
    <w:rsid w:val="000B1573"/>
    <w:rsid w:val="000F0D99"/>
    <w:rsid w:val="001319DD"/>
    <w:rsid w:val="0019566C"/>
    <w:rsid w:val="003A7BC9"/>
    <w:rsid w:val="003B3A9D"/>
    <w:rsid w:val="003C40F8"/>
    <w:rsid w:val="00434544"/>
    <w:rsid w:val="004F690A"/>
    <w:rsid w:val="005347EA"/>
    <w:rsid w:val="005E70E2"/>
    <w:rsid w:val="00694322"/>
    <w:rsid w:val="006D66E8"/>
    <w:rsid w:val="007F4F46"/>
    <w:rsid w:val="00822658"/>
    <w:rsid w:val="00883CD1"/>
    <w:rsid w:val="008F55AD"/>
    <w:rsid w:val="009A1ACC"/>
    <w:rsid w:val="009B5886"/>
    <w:rsid w:val="009D73E3"/>
    <w:rsid w:val="00A81A57"/>
    <w:rsid w:val="00B74ECD"/>
    <w:rsid w:val="00BE0FFB"/>
    <w:rsid w:val="00BF51A1"/>
    <w:rsid w:val="00C445C4"/>
    <w:rsid w:val="00C71C16"/>
    <w:rsid w:val="00C77C96"/>
    <w:rsid w:val="00D911CB"/>
    <w:rsid w:val="00DB67A0"/>
    <w:rsid w:val="00DF17AF"/>
    <w:rsid w:val="00E3338A"/>
    <w:rsid w:val="00E5282F"/>
    <w:rsid w:val="00E54B4D"/>
    <w:rsid w:val="00F301C5"/>
    <w:rsid w:val="00F31F66"/>
    <w:rsid w:val="00F37AFC"/>
    <w:rsid w:val="00F8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F585"/>
  <w15:chartTrackingRefBased/>
  <w15:docId w15:val="{7A0EC549-4620-466E-9330-6C6EE414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1C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301C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0D99"/>
    <w:rPr>
      <w:color w:val="605E5C"/>
      <w:shd w:val="clear" w:color="auto" w:fill="E1DFDD"/>
    </w:rPr>
  </w:style>
  <w:style w:type="character" w:customStyle="1" w:styleId="lrzxr">
    <w:name w:val="lrzxr"/>
    <w:basedOn w:val="Fuentedeprrafopredeter"/>
    <w:rsid w:val="00C77C96"/>
  </w:style>
  <w:style w:type="paragraph" w:styleId="Textodeglobo">
    <w:name w:val="Balloon Text"/>
    <w:basedOn w:val="Normal"/>
    <w:link w:val="TextodegloboCar"/>
    <w:uiPriority w:val="99"/>
    <w:semiHidden/>
    <w:unhideWhenUsed/>
    <w:rsid w:val="005347E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7EA"/>
    <w:rPr>
      <w:rFonts w:ascii="Times New Roman" w:eastAsia="Calibri" w:hAnsi="Times New Roman" w:cs="Times New Roman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E5282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garrunahe@conacyt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oveg.bioplantas.cu" TargetMode="External"/><Relationship Id="rId1" Type="http://schemas.openxmlformats.org/officeDocument/2006/relationships/hyperlink" Target="mailto:bioveg@bioplantas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74546F1-DC94-451E-A592-70668158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yuneisi siordia paz</dc:creator>
  <cp:keywords/>
  <dc:description/>
  <cp:lastModifiedBy>yuneisi siordia paz</cp:lastModifiedBy>
  <cp:revision>2</cp:revision>
  <dcterms:created xsi:type="dcterms:W3CDTF">2019-04-05T22:31:00Z</dcterms:created>
  <dcterms:modified xsi:type="dcterms:W3CDTF">2019-04-05T22:31:00Z</dcterms:modified>
</cp:coreProperties>
</file>