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16" w:rsidRPr="00AA5BD1" w:rsidRDefault="00E569CD" w:rsidP="00AA5BD1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AA5BD1">
        <w:rPr>
          <w:rFonts w:ascii="Times New Roman" w:hAnsi="Times New Roman"/>
          <w:b/>
          <w:bCs/>
          <w:sz w:val="24"/>
          <w:szCs w:val="24"/>
        </w:rPr>
        <w:t>E</w:t>
      </w:r>
      <w:r w:rsidRPr="00AA5BD1">
        <w:rPr>
          <w:rFonts w:ascii="Times New Roman" w:hAnsi="Times New Roman"/>
          <w:b/>
          <w:bCs/>
          <w:sz w:val="24"/>
          <w:szCs w:val="24"/>
        </w:rPr>
        <w:t xml:space="preserve">fecto de la </w:t>
      </w:r>
      <w:r w:rsidR="00AA5BD1" w:rsidRPr="00AA5BD1">
        <w:rPr>
          <w:rFonts w:ascii="Times New Roman" w:hAnsi="Times New Roman"/>
          <w:b/>
          <w:bCs/>
          <w:sz w:val="24"/>
          <w:szCs w:val="24"/>
        </w:rPr>
        <w:t xml:space="preserve">aplicación de </w:t>
      </w:r>
      <w:proofErr w:type="spellStart"/>
      <w:r w:rsidR="00AA5BD1" w:rsidRPr="00AA5BD1">
        <w:rPr>
          <w:rFonts w:ascii="Times New Roman" w:hAnsi="Times New Roman"/>
          <w:b/>
          <w:bCs/>
          <w:sz w:val="24"/>
          <w:szCs w:val="24"/>
        </w:rPr>
        <w:t>microelementos</w:t>
      </w:r>
      <w:proofErr w:type="spellEnd"/>
      <w:r w:rsidR="00AA5BD1" w:rsidRPr="00AA5BD1">
        <w:rPr>
          <w:rFonts w:ascii="Times New Roman" w:hAnsi="Times New Roman"/>
          <w:b/>
          <w:bCs/>
          <w:sz w:val="24"/>
          <w:szCs w:val="24"/>
        </w:rPr>
        <w:t xml:space="preserve"> en combinación con </w:t>
      </w:r>
      <w:proofErr w:type="spellStart"/>
      <w:r w:rsidR="00AA5BD1" w:rsidRPr="00AA5BD1">
        <w:rPr>
          <w:rFonts w:ascii="Times New Roman" w:hAnsi="Times New Roman"/>
          <w:b/>
          <w:bCs/>
          <w:sz w:val="24"/>
          <w:szCs w:val="24"/>
        </w:rPr>
        <w:t>Bayfolán</w:t>
      </w:r>
      <w:proofErr w:type="spellEnd"/>
      <w:r w:rsidR="00AA5BD1" w:rsidRPr="00AA5BD1">
        <w:rPr>
          <w:rFonts w:ascii="Times New Roman" w:hAnsi="Times New Roman"/>
          <w:b/>
          <w:bCs/>
          <w:sz w:val="24"/>
          <w:szCs w:val="24"/>
        </w:rPr>
        <w:t xml:space="preserve"> Forte y </w:t>
      </w:r>
      <w:proofErr w:type="spellStart"/>
      <w:r w:rsidR="00AA5BD1" w:rsidRPr="00AA5BD1">
        <w:rPr>
          <w:rFonts w:ascii="Times New Roman" w:hAnsi="Times New Roman"/>
          <w:b/>
          <w:bCs/>
          <w:sz w:val="24"/>
          <w:szCs w:val="24"/>
        </w:rPr>
        <w:t>Fitomás</w:t>
      </w:r>
      <w:proofErr w:type="spellEnd"/>
      <w:r w:rsidR="00AA5BD1" w:rsidRPr="00AA5BD1">
        <w:rPr>
          <w:rFonts w:ascii="Times New Roman" w:hAnsi="Times New Roman"/>
          <w:b/>
          <w:bCs/>
          <w:sz w:val="24"/>
          <w:szCs w:val="24"/>
        </w:rPr>
        <w:t xml:space="preserve"> E </w:t>
      </w:r>
      <w:r w:rsidR="00AA5BD1" w:rsidRPr="00AA5BD1">
        <w:rPr>
          <w:rFonts w:ascii="Times New Roman" w:hAnsi="Times New Roman"/>
          <w:b/>
          <w:bCs/>
          <w:sz w:val="24"/>
          <w:szCs w:val="24"/>
        </w:rPr>
        <w:t xml:space="preserve">en </w:t>
      </w:r>
      <w:r w:rsidR="00AA5BD1" w:rsidRPr="00AA5BD1">
        <w:rPr>
          <w:rFonts w:ascii="Times New Roman" w:hAnsi="Times New Roman"/>
          <w:b/>
          <w:bCs/>
          <w:sz w:val="24"/>
          <w:szCs w:val="24"/>
        </w:rPr>
        <w:t>el tabaco cultivado al sol en la región central</w:t>
      </w:r>
      <w:r>
        <w:rPr>
          <w:rFonts w:ascii="Times New Roman" w:hAnsi="Times New Roman"/>
          <w:b/>
          <w:bCs/>
          <w:sz w:val="24"/>
          <w:szCs w:val="24"/>
        </w:rPr>
        <w:t xml:space="preserve"> de Cuba</w:t>
      </w:r>
      <w:bookmarkEnd w:id="0"/>
      <w:r w:rsidRPr="00AA5BD1">
        <w:rPr>
          <w:rFonts w:ascii="Times New Roman" w:hAnsi="Times New Roman"/>
          <w:b/>
          <w:bCs/>
          <w:sz w:val="24"/>
          <w:szCs w:val="24"/>
        </w:rPr>
        <w:t>.</w:t>
      </w:r>
    </w:p>
    <w:p w:rsidR="00BE6816" w:rsidRPr="00AA5BD1" w:rsidRDefault="00E569CD" w:rsidP="00AA5BD1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AA5BD1">
        <w:rPr>
          <w:rFonts w:ascii="Times New Roman" w:hAnsi="Times New Roman"/>
          <w:bCs/>
          <w:sz w:val="20"/>
          <w:szCs w:val="20"/>
        </w:rPr>
        <w:t>Ismaray Gato Martínez</w:t>
      </w:r>
      <w:r w:rsidRPr="00AA5BD1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AA5BD1">
        <w:rPr>
          <w:rFonts w:ascii="Times New Roman" w:hAnsi="Times New Roman"/>
          <w:bCs/>
          <w:sz w:val="20"/>
          <w:szCs w:val="20"/>
        </w:rPr>
        <w:t>,</w:t>
      </w:r>
      <w:r w:rsidRPr="00AA5BD1">
        <w:rPr>
          <w:rFonts w:ascii="Times New Roman" w:hAnsi="Times New Roman"/>
          <w:sz w:val="20"/>
          <w:szCs w:val="20"/>
        </w:rPr>
        <w:t xml:space="preserve"> Milagros García Rubido</w:t>
      </w:r>
      <w:r w:rsidRPr="00AA5BD1">
        <w:rPr>
          <w:rFonts w:ascii="Times New Roman" w:hAnsi="Times New Roman"/>
          <w:sz w:val="20"/>
          <w:szCs w:val="20"/>
          <w:vertAlign w:val="superscript"/>
        </w:rPr>
        <w:t>2</w:t>
      </w:r>
      <w:r w:rsidRPr="00AA5BD1">
        <w:rPr>
          <w:rFonts w:ascii="Times New Roman" w:hAnsi="Times New Roman"/>
          <w:sz w:val="20"/>
          <w:szCs w:val="20"/>
        </w:rPr>
        <w:t>, Nairobi Aguirrre Vergara</w:t>
      </w:r>
      <w:r w:rsidRPr="00AA5BD1">
        <w:rPr>
          <w:rFonts w:ascii="Times New Roman" w:hAnsi="Times New Roman"/>
          <w:sz w:val="20"/>
          <w:szCs w:val="20"/>
          <w:vertAlign w:val="superscript"/>
        </w:rPr>
        <w:t>1</w:t>
      </w:r>
      <w:r w:rsidRPr="00AA5BD1">
        <w:rPr>
          <w:rFonts w:ascii="Times New Roman" w:hAnsi="Times New Roman"/>
          <w:sz w:val="20"/>
          <w:szCs w:val="20"/>
        </w:rPr>
        <w:t>,  Glenia Lalcebo Giménez</w:t>
      </w:r>
      <w:r w:rsidRPr="00AA5BD1">
        <w:rPr>
          <w:rFonts w:ascii="Times New Roman" w:hAnsi="Times New Roman"/>
          <w:sz w:val="20"/>
          <w:szCs w:val="20"/>
          <w:vertAlign w:val="superscript"/>
        </w:rPr>
        <w:t>1</w:t>
      </w:r>
      <w:r w:rsidRPr="00AA5BD1">
        <w:rPr>
          <w:rFonts w:ascii="Times New Roman" w:hAnsi="Times New Roman"/>
          <w:sz w:val="20"/>
          <w:szCs w:val="20"/>
        </w:rPr>
        <w:t>, Kirenia García Cuellar</w:t>
      </w:r>
      <w:r w:rsidRPr="00AA5BD1">
        <w:rPr>
          <w:rFonts w:ascii="Times New Roman" w:hAnsi="Times New Roman"/>
          <w:sz w:val="20"/>
          <w:szCs w:val="20"/>
          <w:vertAlign w:val="superscript"/>
        </w:rPr>
        <w:t>1</w:t>
      </w:r>
      <w:r w:rsidRPr="00AA5BD1">
        <w:rPr>
          <w:rFonts w:ascii="Times New Roman" w:hAnsi="Times New Roman"/>
          <w:sz w:val="20"/>
          <w:szCs w:val="20"/>
        </w:rPr>
        <w:t xml:space="preserve">. </w:t>
      </w:r>
    </w:p>
    <w:p w:rsidR="00BE6816" w:rsidRPr="00AA5BD1" w:rsidRDefault="00E569CD" w:rsidP="00AA5BD1">
      <w:pPr>
        <w:tabs>
          <w:tab w:val="left" w:pos="2100"/>
        </w:tabs>
        <w:spacing w:after="120" w:line="360" w:lineRule="auto"/>
        <w:jc w:val="both"/>
        <w:rPr>
          <w:rStyle w:val="Hipervnculo"/>
          <w:rFonts w:ascii="Times New Roman" w:hAnsi="Times New Roman"/>
          <w:i/>
          <w:sz w:val="20"/>
          <w:szCs w:val="20"/>
          <w:u w:val="none"/>
        </w:rPr>
      </w:pPr>
      <w:r w:rsidRPr="00AA5BD1">
        <w:rPr>
          <w:rFonts w:ascii="Times New Roman" w:hAnsi="Times New Roman"/>
          <w:i/>
          <w:sz w:val="20"/>
          <w:szCs w:val="20"/>
          <w:vertAlign w:val="superscript"/>
        </w:rPr>
        <w:t>1</w:t>
      </w:r>
      <w:r w:rsidRPr="00AA5BD1">
        <w:rPr>
          <w:rFonts w:ascii="Times New Roman" w:hAnsi="Times New Roman"/>
          <w:i/>
          <w:sz w:val="20"/>
          <w:szCs w:val="20"/>
        </w:rPr>
        <w:t xml:space="preserve">UEB Estación Experimental de Cabaiguán. Carretera de Santa Lucía, Km 2, Cabaiguán, Sancti Spíritus. Teléfonos: (0141) 662 500 / 662 420. Email: </w:t>
      </w:r>
      <w:hyperlink r:id="rId8" w:history="1">
        <w:r w:rsidRPr="00AA5BD1">
          <w:rPr>
            <w:rStyle w:val="Hipervnculo"/>
            <w:rFonts w:ascii="Times New Roman" w:hAnsi="Times New Roman"/>
            <w:i/>
            <w:sz w:val="20"/>
            <w:szCs w:val="20"/>
            <w:u w:val="none"/>
          </w:rPr>
          <w:t>suelo@eetcab.co.cu</w:t>
        </w:r>
      </w:hyperlink>
    </w:p>
    <w:p w:rsidR="00BE6816" w:rsidRPr="00AA5BD1" w:rsidRDefault="00E569CD" w:rsidP="00AA5BD1">
      <w:pPr>
        <w:spacing w:after="12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A5BD1">
        <w:rPr>
          <w:rFonts w:ascii="Times New Roman" w:hAnsi="Times New Roman"/>
          <w:i/>
          <w:sz w:val="20"/>
          <w:szCs w:val="20"/>
          <w:vertAlign w:val="superscript"/>
        </w:rPr>
        <w:t>2</w:t>
      </w:r>
      <w:r w:rsidRPr="00AA5BD1">
        <w:rPr>
          <w:rFonts w:ascii="Times New Roman" w:hAnsi="Times New Roman"/>
          <w:i/>
          <w:sz w:val="20"/>
          <w:szCs w:val="20"/>
        </w:rPr>
        <w:t xml:space="preserve">UEB Estación Experimental del Tabaco, Finca Vivero San Juan y Martínez, Pinar del Río, Instituto de Investigaciones del Tabaco, MINAG. Teléfono: 798160. </w:t>
      </w:r>
    </w:p>
    <w:p w:rsidR="00BE6816" w:rsidRPr="00AA5BD1" w:rsidRDefault="00AA5BD1" w:rsidP="00AA5BD1">
      <w:pPr>
        <w:spacing w:after="120" w:line="360" w:lineRule="auto"/>
        <w:jc w:val="both"/>
        <w:rPr>
          <w:rFonts w:ascii="Times New Roman" w:hAnsi="Times New Roman"/>
          <w:b/>
          <w:color w:val="000000"/>
        </w:rPr>
      </w:pPr>
      <w:r w:rsidRPr="00AA5BD1">
        <w:rPr>
          <w:rFonts w:ascii="Times New Roman" w:hAnsi="Times New Roman"/>
          <w:b/>
          <w:color w:val="000000"/>
        </w:rPr>
        <w:t>RESUMEN</w:t>
      </w:r>
    </w:p>
    <w:p w:rsidR="00BE6816" w:rsidRPr="00AA5BD1" w:rsidRDefault="00E569CD" w:rsidP="00AA5BD1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AA5BD1">
        <w:rPr>
          <w:rFonts w:ascii="Times New Roman" w:hAnsi="Times New Roman"/>
          <w:bCs/>
          <w:sz w:val="20"/>
          <w:szCs w:val="20"/>
        </w:rPr>
        <w:t>El desarrollo vegetal del cultivo del tabaco puede incrementarse por la</w:t>
      </w:r>
      <w:r w:rsidRPr="00AA5BD1">
        <w:rPr>
          <w:rFonts w:ascii="Times New Roman" w:hAnsi="Times New Roman"/>
          <w:bCs/>
          <w:sz w:val="20"/>
          <w:szCs w:val="20"/>
        </w:rPr>
        <w:t xml:space="preserve"> utilización de </w:t>
      </w:r>
      <w:proofErr w:type="spellStart"/>
      <w:r w:rsidRPr="00AA5BD1">
        <w:rPr>
          <w:rFonts w:ascii="Times New Roman" w:hAnsi="Times New Roman"/>
          <w:bCs/>
          <w:sz w:val="20"/>
          <w:szCs w:val="20"/>
        </w:rPr>
        <w:t>bioestimulantes</w:t>
      </w:r>
      <w:proofErr w:type="spellEnd"/>
      <w:r w:rsidRPr="00AA5BD1">
        <w:rPr>
          <w:rFonts w:ascii="Times New Roman" w:hAnsi="Times New Roman"/>
          <w:bCs/>
          <w:sz w:val="20"/>
          <w:szCs w:val="20"/>
        </w:rPr>
        <w:t xml:space="preserve"> y </w:t>
      </w:r>
      <w:proofErr w:type="spellStart"/>
      <w:r w:rsidRPr="00AA5BD1">
        <w:rPr>
          <w:rFonts w:ascii="Times New Roman" w:hAnsi="Times New Roman"/>
          <w:bCs/>
          <w:sz w:val="20"/>
          <w:szCs w:val="20"/>
        </w:rPr>
        <w:t>microelementos</w:t>
      </w:r>
      <w:proofErr w:type="spellEnd"/>
      <w:r w:rsidRPr="00AA5BD1">
        <w:rPr>
          <w:rFonts w:ascii="Times New Roman" w:hAnsi="Times New Roman"/>
          <w:bCs/>
          <w:sz w:val="20"/>
          <w:szCs w:val="20"/>
        </w:rPr>
        <w:t xml:space="preserve"> </w:t>
      </w:r>
      <w:r w:rsidRPr="00AA5BD1">
        <w:rPr>
          <w:rFonts w:ascii="Times New Roman" w:hAnsi="Times New Roman"/>
          <w:bCs/>
          <w:sz w:val="20"/>
          <w:szCs w:val="20"/>
        </w:rPr>
        <w:t>estimuladores del crecimiento vegetal</w:t>
      </w:r>
      <w:r w:rsidRPr="00AA5BD1">
        <w:rPr>
          <w:rFonts w:ascii="Times New Roman" w:hAnsi="Times New Roman"/>
          <w:bCs/>
          <w:sz w:val="20"/>
          <w:szCs w:val="20"/>
        </w:rPr>
        <w:t>.</w:t>
      </w:r>
      <w:r w:rsidRPr="00AA5BD1">
        <w:rPr>
          <w:rFonts w:ascii="Times New Roman" w:hAnsi="Times New Roman"/>
          <w:bCs/>
          <w:sz w:val="20"/>
          <w:szCs w:val="20"/>
        </w:rPr>
        <w:t xml:space="preserve"> </w:t>
      </w:r>
      <w:r w:rsidRPr="00AA5BD1">
        <w:rPr>
          <w:rFonts w:ascii="Times New Roman" w:hAnsi="Times New Roman"/>
          <w:bCs/>
          <w:sz w:val="20"/>
          <w:szCs w:val="20"/>
        </w:rPr>
        <w:t>E</w:t>
      </w:r>
      <w:r w:rsidRPr="00AA5BD1">
        <w:rPr>
          <w:rFonts w:ascii="Times New Roman" w:hAnsi="Times New Roman"/>
          <w:bCs/>
          <w:sz w:val="20"/>
          <w:szCs w:val="20"/>
        </w:rPr>
        <w:t>l uso de estos constituye</w:t>
      </w:r>
      <w:r w:rsidRPr="00AA5BD1">
        <w:rPr>
          <w:rFonts w:ascii="Times New Roman" w:hAnsi="Times New Roman"/>
          <w:bCs/>
          <w:sz w:val="20"/>
          <w:szCs w:val="20"/>
        </w:rPr>
        <w:t>s</w:t>
      </w:r>
      <w:r w:rsidRPr="00AA5BD1">
        <w:rPr>
          <w:rFonts w:ascii="Times New Roman" w:hAnsi="Times New Roman"/>
          <w:bCs/>
          <w:sz w:val="20"/>
          <w:szCs w:val="20"/>
        </w:rPr>
        <w:t xml:space="preserve"> no sólo </w:t>
      </w:r>
      <w:r w:rsidRPr="00AA5BD1">
        <w:rPr>
          <w:rFonts w:ascii="Times New Roman" w:hAnsi="Times New Roman"/>
          <w:bCs/>
          <w:sz w:val="20"/>
          <w:szCs w:val="20"/>
        </w:rPr>
        <w:t xml:space="preserve">es </w:t>
      </w:r>
      <w:r w:rsidRPr="00AA5BD1">
        <w:rPr>
          <w:rFonts w:ascii="Times New Roman" w:hAnsi="Times New Roman"/>
          <w:bCs/>
          <w:sz w:val="20"/>
          <w:szCs w:val="20"/>
        </w:rPr>
        <w:t xml:space="preserve">una necesidad de la producción agrícola cubana en estos momentos, sino también de la agricultura </w:t>
      </w:r>
      <w:r w:rsidRPr="00AA5BD1">
        <w:rPr>
          <w:rFonts w:ascii="Times New Roman" w:hAnsi="Times New Roman"/>
          <w:bCs/>
          <w:sz w:val="20"/>
          <w:szCs w:val="20"/>
        </w:rPr>
        <w:t xml:space="preserve">del </w:t>
      </w:r>
      <w:r w:rsidRPr="00AA5BD1">
        <w:rPr>
          <w:rFonts w:ascii="Times New Roman" w:hAnsi="Times New Roman"/>
          <w:bCs/>
          <w:sz w:val="20"/>
          <w:szCs w:val="20"/>
        </w:rPr>
        <w:t>futuro, ecológicamente balanceada y a su vez económicamente factible para incrementar la nutrición del cultivo y sus rendimientos y calidad. El objetivo del presente trabajo fue evaluar el efecto de la aplicación de dos bioestimulantes y su combinación con</w:t>
      </w:r>
      <w:r w:rsidRPr="00AA5BD1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AA5BD1">
        <w:rPr>
          <w:rFonts w:ascii="Times New Roman" w:hAnsi="Times New Roman"/>
          <w:bCs/>
          <w:sz w:val="20"/>
          <w:szCs w:val="20"/>
        </w:rPr>
        <w:t>microelementos</w:t>
      </w:r>
      <w:proofErr w:type="spellEnd"/>
      <w:r w:rsidRPr="00AA5BD1">
        <w:rPr>
          <w:rFonts w:ascii="Times New Roman" w:hAnsi="Times New Roman"/>
          <w:bCs/>
          <w:sz w:val="20"/>
          <w:szCs w:val="20"/>
        </w:rPr>
        <w:t xml:space="preserve"> </w:t>
      </w:r>
      <w:r w:rsidR="00AA5BD1">
        <w:rPr>
          <w:rFonts w:ascii="Times New Roman" w:hAnsi="Times New Roman"/>
          <w:bCs/>
          <w:sz w:val="20"/>
          <w:szCs w:val="20"/>
        </w:rPr>
        <w:t>en</w:t>
      </w:r>
      <w:r w:rsidRPr="00AA5BD1">
        <w:rPr>
          <w:rFonts w:ascii="Times New Roman" w:hAnsi="Times New Roman"/>
          <w:bCs/>
          <w:sz w:val="20"/>
          <w:szCs w:val="20"/>
        </w:rPr>
        <w:t xml:space="preserve"> el desarrollo vegetativo del cultivar ´Criollo 2010´ cultivado al sol en la región central. El trabajo se realizó en la UEB Estación Experimental de Cabaiguán, en la campaña 2015-2016. Se utilizaron seis</w:t>
      </w:r>
      <w:r w:rsidRPr="00AA5BD1">
        <w:rPr>
          <w:rFonts w:ascii="Times New Roman" w:hAnsi="Times New Roman"/>
          <w:bCs/>
          <w:sz w:val="20"/>
          <w:szCs w:val="20"/>
        </w:rPr>
        <w:t xml:space="preserve"> tratamientos: testigo, Microelementos, Bayfolan Forte, Bayfolan Forte+ Microelementos, FitoMas E, FitoMas E + Microelementos. Se evaluó altura de la planta, largo y ancho de la hoja mayor y número de hojas. Se hicieron tres aplicaciones, la primera a los </w:t>
      </w:r>
      <w:r w:rsidRPr="00AA5BD1">
        <w:rPr>
          <w:rFonts w:ascii="Times New Roman" w:hAnsi="Times New Roman"/>
          <w:bCs/>
          <w:sz w:val="20"/>
          <w:szCs w:val="20"/>
        </w:rPr>
        <w:t>10 días después del trasplante; la segunda a los 20 – 25 días y la tercera a los 35 días. Se aplicaron las dosis de 100</w:t>
      </w:r>
      <w:r w:rsidRPr="00AA5BD1">
        <w:rPr>
          <w:rFonts w:ascii="Times New Roman" w:hAnsi="Times New Roman"/>
          <w:bCs/>
          <w:sz w:val="20"/>
          <w:szCs w:val="20"/>
        </w:rPr>
        <w:t xml:space="preserve"> </w:t>
      </w:r>
      <w:r w:rsidRPr="00AA5BD1">
        <w:rPr>
          <w:rFonts w:ascii="Times New Roman" w:hAnsi="Times New Roman"/>
          <w:bCs/>
          <w:sz w:val="20"/>
          <w:szCs w:val="20"/>
        </w:rPr>
        <w:t xml:space="preserve">mL/mochila de 16 L en la primera y la segunda aplicación y 150 ml/mochila de 16 L </w:t>
      </w:r>
      <w:r w:rsidRPr="00AA5BD1">
        <w:rPr>
          <w:rFonts w:ascii="Times New Roman" w:hAnsi="Times New Roman"/>
          <w:bCs/>
          <w:sz w:val="20"/>
          <w:szCs w:val="20"/>
        </w:rPr>
        <w:t xml:space="preserve">en </w:t>
      </w:r>
      <w:r w:rsidRPr="00AA5BD1">
        <w:rPr>
          <w:rFonts w:ascii="Times New Roman" w:hAnsi="Times New Roman"/>
          <w:bCs/>
          <w:sz w:val="20"/>
          <w:szCs w:val="20"/>
        </w:rPr>
        <w:t xml:space="preserve">la tercera. Se comprobó que con </w:t>
      </w:r>
      <w:r w:rsidRPr="00AA5BD1">
        <w:rPr>
          <w:rFonts w:ascii="Times New Roman" w:hAnsi="Times New Roman"/>
          <w:sz w:val="20"/>
          <w:szCs w:val="20"/>
        </w:rPr>
        <w:t xml:space="preserve">la aplicación de </w:t>
      </w:r>
      <w:proofErr w:type="spellStart"/>
      <w:r w:rsidRPr="00AA5BD1">
        <w:rPr>
          <w:rFonts w:ascii="Times New Roman" w:hAnsi="Times New Roman"/>
          <w:sz w:val="20"/>
          <w:szCs w:val="20"/>
        </w:rPr>
        <w:t>Ba</w:t>
      </w:r>
      <w:r w:rsidRPr="00AA5BD1">
        <w:rPr>
          <w:rFonts w:ascii="Times New Roman" w:hAnsi="Times New Roman"/>
          <w:sz w:val="20"/>
          <w:szCs w:val="20"/>
        </w:rPr>
        <w:t>yfolan</w:t>
      </w:r>
      <w:proofErr w:type="spellEnd"/>
      <w:r w:rsidRPr="00AA5BD1">
        <w:rPr>
          <w:rFonts w:ascii="Times New Roman" w:hAnsi="Times New Roman"/>
          <w:sz w:val="20"/>
          <w:szCs w:val="20"/>
        </w:rPr>
        <w:t xml:space="preserve"> Forte sin </w:t>
      </w:r>
      <w:proofErr w:type="spellStart"/>
      <w:r w:rsidRPr="00AA5BD1">
        <w:rPr>
          <w:rFonts w:ascii="Times New Roman" w:hAnsi="Times New Roman"/>
          <w:sz w:val="20"/>
          <w:szCs w:val="20"/>
        </w:rPr>
        <w:t>microelementos</w:t>
      </w:r>
      <w:proofErr w:type="spellEnd"/>
      <w:r w:rsidRPr="00AA5BD1">
        <w:rPr>
          <w:rFonts w:ascii="Times New Roman" w:hAnsi="Times New Roman"/>
          <w:sz w:val="20"/>
          <w:szCs w:val="20"/>
        </w:rPr>
        <w:t xml:space="preserve"> </w:t>
      </w:r>
      <w:r w:rsidRPr="00AA5BD1">
        <w:rPr>
          <w:rFonts w:ascii="Times New Roman" w:hAnsi="Times New Roman"/>
          <w:sz w:val="20"/>
          <w:szCs w:val="20"/>
        </w:rPr>
        <w:t>se obtuvieron los mejores resultados en todas las evaluaciones del desarrollo fisiológico del cultivar en estudio. Con excepción del número de hojas, cuando se aplicó microelementos sin combinar se obtuvieron res</w:t>
      </w:r>
      <w:r w:rsidRPr="00AA5BD1">
        <w:rPr>
          <w:rFonts w:ascii="Times New Roman" w:hAnsi="Times New Roman"/>
          <w:sz w:val="20"/>
          <w:szCs w:val="20"/>
        </w:rPr>
        <w:t>ultados por debajo del testigo.</w:t>
      </w:r>
    </w:p>
    <w:p w:rsidR="00BE6816" w:rsidRPr="00AA5BD1" w:rsidRDefault="00E569CD" w:rsidP="00AA5BD1">
      <w:pPr>
        <w:spacing w:after="120" w:line="360" w:lineRule="auto"/>
        <w:jc w:val="both"/>
        <w:rPr>
          <w:rFonts w:ascii="Times New Roman" w:hAnsi="Times New Roman"/>
          <w:sz w:val="20"/>
          <w:szCs w:val="20"/>
        </w:rPr>
      </w:pPr>
      <w:r w:rsidRPr="00AA5BD1">
        <w:rPr>
          <w:rFonts w:ascii="Times New Roman" w:hAnsi="Times New Roman"/>
          <w:b/>
          <w:sz w:val="20"/>
          <w:szCs w:val="20"/>
        </w:rPr>
        <w:t>Palabras clave:</w:t>
      </w:r>
      <w:r w:rsidRPr="00AA5BD1">
        <w:rPr>
          <w:rFonts w:ascii="Times New Roman" w:hAnsi="Times New Roman"/>
          <w:sz w:val="20"/>
          <w:szCs w:val="20"/>
        </w:rPr>
        <w:t xml:space="preserve"> tabaco, oligolelementos, bioestimulantes, desarrollo vegetativo.</w:t>
      </w:r>
    </w:p>
    <w:sectPr w:rsidR="00BE6816" w:rsidRPr="00AA5BD1">
      <w:headerReference w:type="default" r:id="rId9"/>
      <w:headerReference w:type="first" r:id="rId10"/>
      <w:pgSz w:w="11906" w:h="16838"/>
      <w:pgMar w:top="1440" w:right="1080" w:bottom="1440" w:left="1080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569CD">
      <w:pPr>
        <w:spacing w:after="0" w:line="240" w:lineRule="auto"/>
      </w:pPr>
      <w:r>
        <w:separator/>
      </w:r>
    </w:p>
  </w:endnote>
  <w:endnote w:type="continuationSeparator" w:id="0">
    <w:p w:rsidR="00000000" w:rsidRDefault="00E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569CD">
      <w:pPr>
        <w:spacing w:after="0" w:line="240" w:lineRule="auto"/>
      </w:pPr>
      <w:r>
        <w:separator/>
      </w:r>
    </w:p>
  </w:footnote>
  <w:footnote w:type="continuationSeparator" w:id="0">
    <w:p w:rsidR="00000000" w:rsidRDefault="00E5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16" w:rsidRDefault="00BE6816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16" w:rsidRDefault="00BE681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4DA84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434C2CC"/>
    <w:lvl w:ilvl="0" w:tplc="53D0C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CA5847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16"/>
    <w:rsid w:val="00AA5BD1"/>
    <w:rsid w:val="00BE6816"/>
    <w:rsid w:val="00E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2"/>
      <w:szCs w:val="22"/>
    </w:r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rPr>
      <w:rFonts w:ascii="Times New Roman" w:hAnsi="Times New Roman"/>
      <w:sz w:val="24"/>
      <w:szCs w:val="24"/>
    </w:rPr>
  </w:style>
  <w:style w:type="character" w:customStyle="1" w:styleId="tlid-translation">
    <w:name w:val="tlid-translation"/>
  </w:style>
  <w:style w:type="character" w:styleId="Nmerodelnea">
    <w:name w:val="line number"/>
    <w:basedOn w:val="Fuentedeprrafopredeter"/>
    <w:uiPriority w:val="99"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2"/>
      <w:szCs w:val="22"/>
    </w:r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link w:val="Textoindependiente2"/>
    <w:rPr>
      <w:rFonts w:ascii="Times New Roman" w:hAnsi="Times New Roman"/>
      <w:sz w:val="24"/>
      <w:szCs w:val="24"/>
    </w:rPr>
  </w:style>
  <w:style w:type="character" w:customStyle="1" w:styleId="tlid-translation">
    <w:name w:val="tlid-translation"/>
  </w:style>
  <w:style w:type="character" w:styleId="Nmerodelnea">
    <w:name w:val="line number"/>
    <w:basedOn w:val="Fuentedeprrafopredeter"/>
    <w:uiPriority w:val="99"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lo@eetcab.co.c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eetcab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Usuario de Windows</cp:lastModifiedBy>
  <cp:revision>5</cp:revision>
  <dcterms:created xsi:type="dcterms:W3CDTF">2019-04-09T12:15:00Z</dcterms:created>
  <dcterms:modified xsi:type="dcterms:W3CDTF">2019-04-09T08:18:00Z</dcterms:modified>
</cp:coreProperties>
</file>